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D0151" w14:textId="77777777" w:rsidR="001D49B0" w:rsidRDefault="00243CC1">
      <w:pPr>
        <w:widowControl w:val="0"/>
        <w:spacing w:line="240" w:lineRule="auto"/>
        <w:jc w:val="center"/>
        <w:rPr>
          <w:rFonts w:ascii="Times New Roman" w:eastAsia="楷体" w:hAnsi="Times New Roman" w:cs="Times New Roman"/>
          <w:b/>
          <w:kern w:val="2"/>
          <w:sz w:val="28"/>
          <w:szCs w:val="28"/>
          <w:lang w:val="en-US" w:eastAsia="zh-CN"/>
        </w:rPr>
      </w:pPr>
      <w:r>
        <w:rPr>
          <w:rFonts w:ascii="Times New Roman" w:eastAsia="楷体" w:hAnsi="Times New Roman" w:cs="Times New Roman"/>
          <w:b/>
          <w:kern w:val="2"/>
          <w:sz w:val="28"/>
          <w:szCs w:val="28"/>
          <w:lang w:val="en-US" w:eastAsia="zh-CN"/>
        </w:rPr>
        <w:t>FDI and M&amp;A Legal Guideline in Singapore</w:t>
      </w:r>
    </w:p>
    <w:p w14:paraId="44082D9C" w14:textId="77777777" w:rsidR="001D49B0" w:rsidRDefault="001D49B0">
      <w:pPr>
        <w:ind w:left="840" w:hanging="420"/>
        <w:jc w:val="both"/>
        <w:rPr>
          <w:rFonts w:ascii="Times New Roman" w:eastAsia="楷体" w:hAnsi="Times New Roman" w:cs="Times New Roman"/>
          <w:bCs/>
          <w:sz w:val="24"/>
          <w:szCs w:val="24"/>
        </w:rPr>
      </w:pPr>
    </w:p>
    <w:p w14:paraId="08CA8175" w14:textId="77777777" w:rsidR="001D49B0" w:rsidRPr="00010327" w:rsidRDefault="00243CC1">
      <w:pPr>
        <w:ind w:left="840" w:hanging="420"/>
        <w:jc w:val="both"/>
        <w:rPr>
          <w:rFonts w:ascii="Times New Roman" w:eastAsia="楷体" w:hAnsi="Times New Roman" w:cs="Times New Roman"/>
          <w:b/>
          <w:bCs/>
          <w:sz w:val="24"/>
          <w:szCs w:val="24"/>
        </w:rPr>
      </w:pPr>
      <w:r>
        <w:rPr>
          <w:rFonts w:ascii="Times New Roman" w:eastAsia="楷体" w:hAnsi="Times New Roman" w:cs="Times New Roman"/>
          <w:bCs/>
          <w:sz w:val="24"/>
          <w:szCs w:val="24"/>
        </w:rPr>
        <w:t>1.</w:t>
      </w:r>
      <w:r w:rsidRPr="00010327">
        <w:rPr>
          <w:rFonts w:ascii="Times New Roman" w:eastAsia="楷体" w:hAnsi="Times New Roman" w:cs="Times New Roman"/>
          <w:b/>
          <w:bCs/>
          <w:sz w:val="24"/>
          <w:szCs w:val="24"/>
        </w:rPr>
        <w:t xml:space="preserve"> </w:t>
      </w:r>
      <w:r w:rsidRPr="00010327">
        <w:rPr>
          <w:rFonts w:ascii="Times New Roman" w:eastAsia="楷体" w:hAnsi="Times New Roman" w:cs="Times New Roman"/>
          <w:b/>
          <w:bCs/>
          <w:sz w:val="24"/>
          <w:szCs w:val="24"/>
        </w:rPr>
        <w:tab/>
        <w:t>Foreign Direct Investment (Greenfield investment)</w:t>
      </w:r>
    </w:p>
    <w:p w14:paraId="5BD5196E" w14:textId="77777777" w:rsidR="001D49B0" w:rsidRPr="00010327" w:rsidRDefault="00243CC1">
      <w:pPr>
        <w:pStyle w:val="af"/>
        <w:numPr>
          <w:ilvl w:val="1"/>
          <w:numId w:val="1"/>
        </w:numPr>
        <w:jc w:val="both"/>
        <w:rPr>
          <w:rFonts w:ascii="Times New Roman" w:eastAsia="楷体" w:hAnsi="Times New Roman" w:cs="Times New Roman"/>
          <w:b/>
          <w:bCs/>
          <w:sz w:val="24"/>
          <w:szCs w:val="24"/>
        </w:rPr>
      </w:pPr>
      <w:r w:rsidRPr="00010327">
        <w:rPr>
          <w:rFonts w:ascii="Times New Roman" w:eastAsia="楷体" w:hAnsi="Times New Roman" w:cs="Times New Roman"/>
          <w:b/>
          <w:bCs/>
          <w:sz w:val="24"/>
          <w:szCs w:val="24"/>
        </w:rPr>
        <w:t xml:space="preserve">What are the principal laws and regulations applicable to FDI in your jurisdiction? Are there special rules for certain foreign investors, including state-owned enterprises (SOEs)? </w:t>
      </w:r>
    </w:p>
    <w:p w14:paraId="193D6615" w14:textId="77777777" w:rsidR="001D49B0" w:rsidRDefault="00243CC1">
      <w:pPr>
        <w:pStyle w:val="af"/>
        <w:numPr>
          <w:ilvl w:val="0"/>
          <w:numId w:val="2"/>
        </w:numPr>
        <w:rPr>
          <w:rFonts w:ascii="Times New Roman" w:eastAsia="楷体" w:hAnsi="Times New Roman" w:cs="Times New Roman"/>
          <w:sz w:val="24"/>
          <w:szCs w:val="24"/>
        </w:rPr>
      </w:pPr>
      <w:r>
        <w:rPr>
          <w:rFonts w:ascii="Times New Roman" w:eastAsia="楷体" w:hAnsi="Times New Roman" w:cs="Times New Roman"/>
          <w:sz w:val="24"/>
          <w:szCs w:val="24"/>
        </w:rPr>
        <w:t xml:space="preserve">Generally, the </w:t>
      </w:r>
      <w:bookmarkStart w:id="0" w:name="OLE_LINK18"/>
      <w:r>
        <w:rPr>
          <w:rFonts w:ascii="Times New Roman" w:eastAsia="楷体" w:hAnsi="Times New Roman" w:cs="Times New Roman"/>
          <w:sz w:val="24"/>
          <w:szCs w:val="24"/>
        </w:rPr>
        <w:t>Singapore</w:t>
      </w:r>
      <w:bookmarkEnd w:id="0"/>
      <w:r>
        <w:rPr>
          <w:rFonts w:ascii="Times New Roman" w:eastAsia="楷体" w:hAnsi="Times New Roman" w:cs="Times New Roman"/>
          <w:sz w:val="24"/>
          <w:szCs w:val="24"/>
        </w:rPr>
        <w:t xml:space="preserve"> government does not impose foreign ownership restrictions on direct investments in Singapore businesses. However, FDI may be restricted in certain industry sectors such as real estate, banking or media being areas which may have an impact on Singapore nationally, and which are therefore more stringently regulated or subject to licensing. </w:t>
      </w:r>
    </w:p>
    <w:p w14:paraId="6381F44A" w14:textId="77777777" w:rsidR="001D49B0" w:rsidRDefault="00243CC1">
      <w:pPr>
        <w:numPr>
          <w:ilvl w:val="0"/>
          <w:numId w:val="2"/>
        </w:numPr>
        <w:shd w:val="clear" w:color="auto" w:fill="FFFFFF"/>
        <w:jc w:val="both"/>
        <w:rPr>
          <w:rFonts w:ascii="Times New Roman" w:eastAsia="楷体" w:hAnsi="Times New Roman" w:cs="Times New Roman"/>
          <w:sz w:val="24"/>
          <w:szCs w:val="24"/>
        </w:rPr>
      </w:pPr>
      <w:r>
        <w:rPr>
          <w:rFonts w:ascii="Times New Roman" w:eastAsia="楷体" w:hAnsi="Times New Roman" w:cs="Times New Roman"/>
          <w:bCs/>
          <w:sz w:val="24"/>
          <w:szCs w:val="24"/>
        </w:rPr>
        <w:t xml:space="preserve">With one of the world’s most clearly delineated legal systems and regulatory regimes, business-friendly tax regimes, companies setting up in Singapore are eligible for various business and tax incentives that can help reduce their final corporate income tax rate and provide other non-directly monetary benefits. </w:t>
      </w:r>
      <w:r>
        <w:rPr>
          <w:rFonts w:ascii="Times New Roman" w:eastAsia="楷体" w:hAnsi="Times New Roman" w:cs="Times New Roman"/>
          <w:bCs/>
          <w:sz w:val="24"/>
          <w:szCs w:val="24"/>
          <w:highlight w:val="white"/>
        </w:rPr>
        <w:t>However, applicants must fulfil firm requirements, which include committing to certain levels of investments, introducing leading-edge skills, technology, as well as contributing to the growth of research and development and innovation capabilities.</w:t>
      </w:r>
    </w:p>
    <w:p w14:paraId="0B85B1B9" w14:textId="77777777" w:rsidR="001D49B0" w:rsidRDefault="001D49B0">
      <w:pPr>
        <w:ind w:left="560"/>
        <w:jc w:val="both"/>
        <w:rPr>
          <w:rFonts w:ascii="Times New Roman" w:eastAsia="楷体" w:hAnsi="Times New Roman" w:cs="Times New Roman"/>
          <w:bCs/>
          <w:sz w:val="24"/>
          <w:szCs w:val="24"/>
          <w:lang w:eastAsia="zh-CN"/>
        </w:rPr>
      </w:pPr>
    </w:p>
    <w:p w14:paraId="22FFBCD5" w14:textId="77777777" w:rsidR="001D49B0" w:rsidRPr="00010327" w:rsidRDefault="00243CC1">
      <w:pPr>
        <w:pStyle w:val="af"/>
        <w:numPr>
          <w:ilvl w:val="1"/>
          <w:numId w:val="1"/>
        </w:numPr>
        <w:jc w:val="both"/>
        <w:rPr>
          <w:rFonts w:ascii="Times New Roman" w:eastAsia="楷体" w:hAnsi="Times New Roman" w:cs="Times New Roman"/>
          <w:b/>
          <w:bCs/>
          <w:sz w:val="24"/>
          <w:szCs w:val="24"/>
        </w:rPr>
      </w:pPr>
      <w:r w:rsidRPr="00010327">
        <w:rPr>
          <w:rFonts w:ascii="Times New Roman" w:eastAsia="楷体" w:hAnsi="Times New Roman" w:cs="Times New Roman"/>
          <w:b/>
          <w:bCs/>
          <w:sz w:val="24"/>
          <w:szCs w:val="24"/>
        </w:rPr>
        <w:t xml:space="preserve">Are there any </w:t>
      </w:r>
      <w:bookmarkStart w:id="1" w:name="_Hlk104799323"/>
      <w:r w:rsidRPr="00010327">
        <w:rPr>
          <w:rFonts w:ascii="Times New Roman" w:eastAsia="楷体" w:hAnsi="Times New Roman" w:cs="Times New Roman"/>
          <w:b/>
          <w:bCs/>
          <w:sz w:val="24"/>
          <w:szCs w:val="24"/>
        </w:rPr>
        <w:t>governmental and regulatory approvals required for FDI? If so, please give brief details (such as trigger threshold, relevant authority and timing requirements)?</w:t>
      </w:r>
      <w:bookmarkEnd w:id="1"/>
    </w:p>
    <w:p w14:paraId="47FBFAD0" w14:textId="77777777" w:rsidR="001D49B0" w:rsidRDefault="00243CC1">
      <w:pPr>
        <w:pStyle w:val="af"/>
        <w:numPr>
          <w:ilvl w:val="0"/>
          <w:numId w:val="2"/>
        </w:numPr>
        <w:rPr>
          <w:rFonts w:ascii="Times New Roman" w:eastAsia="楷体" w:hAnsi="Times New Roman" w:cs="Times New Roman"/>
          <w:sz w:val="24"/>
          <w:szCs w:val="24"/>
          <w:lang w:eastAsia="zh-CN"/>
        </w:rPr>
      </w:pPr>
      <w:r>
        <w:rPr>
          <w:rFonts w:ascii="Times New Roman" w:eastAsia="楷体" w:hAnsi="Times New Roman" w:cs="Times New Roman"/>
          <w:sz w:val="24"/>
          <w:szCs w:val="24"/>
        </w:rPr>
        <w:t xml:space="preserve">Singapore has no separate law specifically governing foreign direct investment. Foreign investment is governed by sector-specific laws and regulators. However, for industry specific sectors mentioned above, including real estate agencies, banking, media and also the construction industry, there are specific laws and regulations. </w:t>
      </w:r>
    </w:p>
    <w:p w14:paraId="28D1E9B0" w14:textId="77777777" w:rsidR="001D49B0" w:rsidRPr="00010327" w:rsidRDefault="00243CC1">
      <w:pPr>
        <w:pStyle w:val="af"/>
        <w:numPr>
          <w:ilvl w:val="1"/>
          <w:numId w:val="1"/>
        </w:numPr>
        <w:jc w:val="both"/>
        <w:rPr>
          <w:rFonts w:ascii="Times New Roman" w:eastAsia="楷体" w:hAnsi="Times New Roman" w:cs="Times New Roman"/>
          <w:b/>
          <w:bCs/>
          <w:sz w:val="24"/>
          <w:szCs w:val="24"/>
        </w:rPr>
      </w:pPr>
      <w:r w:rsidRPr="00010327">
        <w:rPr>
          <w:rFonts w:ascii="Times New Roman" w:eastAsia="楷体" w:hAnsi="Times New Roman" w:cs="Times New Roman"/>
          <w:b/>
          <w:bCs/>
          <w:sz w:val="24"/>
          <w:szCs w:val="24"/>
        </w:rPr>
        <w:t>Are there any industry sector controls on foreign investment?</w:t>
      </w:r>
    </w:p>
    <w:p w14:paraId="17FEBC89" w14:textId="77777777" w:rsidR="001D49B0" w:rsidRDefault="00243CC1">
      <w:pPr>
        <w:numPr>
          <w:ilvl w:val="0"/>
          <w:numId w:val="3"/>
        </w:numPr>
        <w:jc w:val="both"/>
        <w:rPr>
          <w:rFonts w:ascii="Times New Roman" w:eastAsia="楷体" w:hAnsi="Times New Roman" w:cs="Times New Roman"/>
          <w:bCs/>
          <w:sz w:val="24"/>
          <w:szCs w:val="24"/>
        </w:rPr>
      </w:pPr>
      <w:r>
        <w:rPr>
          <w:rFonts w:ascii="Times New Roman" w:eastAsia="楷体" w:hAnsi="Times New Roman" w:cs="Times New Roman"/>
          <w:bCs/>
          <w:sz w:val="24"/>
          <w:szCs w:val="24"/>
        </w:rPr>
        <w:t xml:space="preserve">For real estate, the main regulatory bodies for this sector are the Singapore Land Authority, the Housing and Development Board (HDB) and the Jurong Town Corporation, depending on the type of real estate involved. Generally, specific legislative restrictions on foreign ownership apply to certain types of residential property including vacant land; land zoned for residential purposes; </w:t>
      </w:r>
      <w:bookmarkStart w:id="2" w:name="OLE_LINK8"/>
      <w:bookmarkStart w:id="3" w:name="OLE_LINK9"/>
      <w:r>
        <w:rPr>
          <w:rFonts w:ascii="Times New Roman" w:eastAsia="楷体" w:hAnsi="Times New Roman" w:cs="Times New Roman"/>
          <w:bCs/>
          <w:sz w:val="24"/>
          <w:szCs w:val="24"/>
        </w:rPr>
        <w:t>landed residential properties</w:t>
      </w:r>
      <w:bookmarkEnd w:id="2"/>
      <w:bookmarkEnd w:id="3"/>
      <w:r>
        <w:rPr>
          <w:rFonts w:ascii="Times New Roman" w:eastAsia="楷体" w:hAnsi="Times New Roman" w:cs="Times New Roman"/>
          <w:bCs/>
          <w:sz w:val="24"/>
          <w:szCs w:val="24"/>
        </w:rPr>
        <w:t xml:space="preserve">; </w:t>
      </w:r>
      <w:r>
        <w:rPr>
          <w:rFonts w:ascii="Times New Roman" w:eastAsia="楷体" w:hAnsi="Times New Roman" w:cs="Times New Roman"/>
          <w:bCs/>
          <w:sz w:val="24"/>
          <w:szCs w:val="24"/>
        </w:rPr>
        <w:lastRenderedPageBreak/>
        <w:t>public residential units known as HDB housing, and other real estate such as workers' dormitories.</w:t>
      </w:r>
    </w:p>
    <w:p w14:paraId="2293A512" w14:textId="77777777" w:rsidR="001D49B0" w:rsidRDefault="00243CC1">
      <w:pPr>
        <w:numPr>
          <w:ilvl w:val="0"/>
          <w:numId w:val="3"/>
        </w:numPr>
        <w:jc w:val="both"/>
        <w:rPr>
          <w:rFonts w:ascii="Times New Roman" w:eastAsia="楷体" w:hAnsi="Times New Roman" w:cs="Times New Roman"/>
          <w:bCs/>
          <w:sz w:val="24"/>
          <w:szCs w:val="24"/>
          <w:lang w:eastAsia="zh-CN"/>
        </w:rPr>
      </w:pPr>
      <w:r>
        <w:rPr>
          <w:rFonts w:ascii="Times New Roman" w:eastAsia="楷体" w:hAnsi="Times New Roman" w:cs="Times New Roman"/>
          <w:bCs/>
          <w:sz w:val="24"/>
          <w:szCs w:val="24"/>
        </w:rPr>
        <w:t>Financial services and banking related activities are primarily regulated by the Monetary Authority of Singapore (MAS) under several pieces of legislation including, but not limited to, the Monetary Authority of Singapore Act, Securities and Futures Act, Payment Services Act, Trust Companies Act, Banking Act and Finance Companies Act.</w:t>
      </w:r>
    </w:p>
    <w:p w14:paraId="15305A17" w14:textId="77777777" w:rsidR="001D49B0" w:rsidRDefault="00243CC1">
      <w:pPr>
        <w:numPr>
          <w:ilvl w:val="0"/>
          <w:numId w:val="3"/>
        </w:numPr>
        <w:jc w:val="both"/>
        <w:rPr>
          <w:rFonts w:ascii="Times New Roman" w:eastAsia="楷体" w:hAnsi="Times New Roman" w:cs="Times New Roman"/>
          <w:bCs/>
          <w:sz w:val="24"/>
          <w:szCs w:val="24"/>
          <w:lang w:eastAsia="zh-CN"/>
        </w:rPr>
      </w:pPr>
      <w:r>
        <w:rPr>
          <w:rFonts w:ascii="Times New Roman" w:eastAsia="楷体" w:hAnsi="Times New Roman" w:cs="Times New Roman"/>
          <w:bCs/>
          <w:sz w:val="24"/>
          <w:szCs w:val="24"/>
        </w:rPr>
        <w:t>Specific legislative restrictions on foreign ownership apply to broadcasting companies in Singapore, pursuant to the Broadcasting Act (BCA). Under the BCA, a broadcasting licen</w:t>
      </w:r>
      <w:r>
        <w:rPr>
          <w:rFonts w:ascii="Times New Roman" w:eastAsia="楷体" w:hAnsi="Times New Roman" w:cs="Times New Roman"/>
          <w:bCs/>
          <w:sz w:val="24"/>
          <w:szCs w:val="24"/>
          <w:lang w:eastAsia="zh-CN"/>
        </w:rPr>
        <w:t>s</w:t>
      </w:r>
      <w:r>
        <w:rPr>
          <w:rFonts w:ascii="Times New Roman" w:eastAsia="楷体" w:hAnsi="Times New Roman" w:cs="Times New Roman"/>
          <w:bCs/>
          <w:sz w:val="24"/>
          <w:szCs w:val="24"/>
        </w:rPr>
        <w:t>e will not be granted if the company is controlled by foreign sources or if foreign sources hold more than 49% shares or voting power of the company. Specific legislative restrictions on foreign ownership also apply to newspaper companies in Singapore in which ownership of companies in the newspaper publishing industry in Singapore is regulated by the Newspaper and Printing Presses Act.</w:t>
      </w:r>
    </w:p>
    <w:p w14:paraId="7AFCE0D2" w14:textId="77777777" w:rsidR="001D49B0" w:rsidRPr="00010327" w:rsidRDefault="00243CC1">
      <w:pPr>
        <w:pStyle w:val="af"/>
        <w:numPr>
          <w:ilvl w:val="1"/>
          <w:numId w:val="1"/>
        </w:numPr>
        <w:jc w:val="both"/>
        <w:rPr>
          <w:rFonts w:ascii="Times New Roman" w:eastAsia="楷体" w:hAnsi="Times New Roman" w:cs="Times New Roman"/>
          <w:b/>
          <w:bCs/>
          <w:sz w:val="24"/>
          <w:szCs w:val="24"/>
        </w:rPr>
      </w:pPr>
      <w:r w:rsidRPr="00010327">
        <w:rPr>
          <w:rFonts w:ascii="Times New Roman" w:eastAsia="楷体" w:hAnsi="Times New Roman" w:cs="Times New Roman"/>
          <w:b/>
          <w:bCs/>
          <w:sz w:val="24"/>
          <w:szCs w:val="24"/>
        </w:rPr>
        <w:t xml:space="preserve">Are there any </w:t>
      </w:r>
      <w:bookmarkStart w:id="4" w:name="OLE_LINK24"/>
      <w:r w:rsidRPr="00010327">
        <w:rPr>
          <w:rFonts w:ascii="Times New Roman" w:eastAsia="楷体" w:hAnsi="Times New Roman" w:cs="Times New Roman"/>
          <w:b/>
          <w:bCs/>
          <w:sz w:val="24"/>
          <w:szCs w:val="24"/>
        </w:rPr>
        <w:t xml:space="preserve">government </w:t>
      </w:r>
      <w:bookmarkStart w:id="5" w:name="OLE_LINK25"/>
      <w:r w:rsidRPr="00010327">
        <w:rPr>
          <w:rFonts w:ascii="Times New Roman" w:eastAsia="楷体" w:hAnsi="Times New Roman" w:cs="Times New Roman"/>
          <w:b/>
          <w:bCs/>
          <w:sz w:val="24"/>
          <w:szCs w:val="24"/>
        </w:rPr>
        <w:t xml:space="preserve">free carry interest </w:t>
      </w:r>
      <w:bookmarkEnd w:id="4"/>
      <w:bookmarkEnd w:id="5"/>
      <w:r w:rsidRPr="00010327">
        <w:rPr>
          <w:rFonts w:ascii="Times New Roman" w:eastAsia="楷体" w:hAnsi="Times New Roman" w:cs="Times New Roman"/>
          <w:b/>
          <w:bCs/>
          <w:sz w:val="24"/>
          <w:szCs w:val="24"/>
        </w:rPr>
        <w:t>requirements on special industry sector?</w:t>
      </w:r>
    </w:p>
    <w:p w14:paraId="5249C888" w14:textId="77777777" w:rsidR="001D49B0" w:rsidRDefault="00243CC1">
      <w:pPr>
        <w:pStyle w:val="af"/>
        <w:numPr>
          <w:ilvl w:val="0"/>
          <w:numId w:val="4"/>
        </w:numPr>
        <w:ind w:left="1418"/>
        <w:jc w:val="both"/>
        <w:rPr>
          <w:rFonts w:ascii="Times New Roman" w:eastAsia="楷体" w:hAnsi="Times New Roman" w:cs="Times New Roman"/>
          <w:bCs/>
          <w:sz w:val="24"/>
          <w:szCs w:val="24"/>
        </w:rPr>
      </w:pPr>
      <w:r>
        <w:rPr>
          <w:rFonts w:ascii="Times New Roman" w:eastAsia="楷体" w:hAnsi="Times New Roman" w:cs="Times New Roman"/>
          <w:bCs/>
          <w:sz w:val="24"/>
          <w:szCs w:val="24"/>
        </w:rPr>
        <w:t>There are none.</w:t>
      </w:r>
    </w:p>
    <w:p w14:paraId="739EE724" w14:textId="77777777" w:rsidR="001D49B0" w:rsidRDefault="001D49B0">
      <w:pPr>
        <w:ind w:left="560"/>
        <w:jc w:val="both"/>
        <w:rPr>
          <w:rFonts w:ascii="Times New Roman" w:eastAsia="楷体" w:hAnsi="Times New Roman" w:cs="Times New Roman"/>
          <w:bCs/>
          <w:sz w:val="24"/>
          <w:szCs w:val="24"/>
        </w:rPr>
      </w:pPr>
    </w:p>
    <w:p w14:paraId="321632D6" w14:textId="77777777" w:rsidR="001D49B0" w:rsidRPr="00010327" w:rsidRDefault="00243CC1">
      <w:pPr>
        <w:pStyle w:val="af"/>
        <w:numPr>
          <w:ilvl w:val="1"/>
          <w:numId w:val="1"/>
        </w:numPr>
        <w:jc w:val="both"/>
        <w:rPr>
          <w:rFonts w:ascii="Times New Roman" w:eastAsia="楷体" w:hAnsi="Times New Roman" w:cs="Times New Roman"/>
          <w:b/>
          <w:bCs/>
          <w:sz w:val="24"/>
          <w:szCs w:val="24"/>
        </w:rPr>
      </w:pPr>
      <w:r w:rsidRPr="00010327">
        <w:rPr>
          <w:rFonts w:ascii="Times New Roman" w:eastAsia="楷体" w:hAnsi="Times New Roman" w:cs="Times New Roman"/>
          <w:b/>
          <w:bCs/>
          <w:sz w:val="24"/>
          <w:szCs w:val="24"/>
        </w:rPr>
        <w:t>Are there any localization requirements (e.g., minimum ratio of local employees, minimum ratio of local procurement) for FDI in your jurisdiction?</w:t>
      </w:r>
    </w:p>
    <w:p w14:paraId="18A8FECE" w14:textId="77777777" w:rsidR="001D49B0" w:rsidRDefault="00243CC1">
      <w:pPr>
        <w:numPr>
          <w:ilvl w:val="0"/>
          <w:numId w:val="5"/>
        </w:numPr>
        <w:jc w:val="both"/>
        <w:rPr>
          <w:rFonts w:ascii="Times New Roman" w:eastAsia="楷体" w:hAnsi="Times New Roman" w:cs="Times New Roman"/>
          <w:bCs/>
          <w:sz w:val="24"/>
          <w:szCs w:val="24"/>
        </w:rPr>
      </w:pPr>
      <w:r>
        <w:rPr>
          <w:rFonts w:ascii="Times New Roman" w:eastAsia="楷体" w:hAnsi="Times New Roman" w:cs="Times New Roman"/>
          <w:sz w:val="24"/>
          <w:szCs w:val="24"/>
        </w:rPr>
        <w:t>Although there is no strict minimum ratio for local employees outside of the S Pass / work permit regime, companies are expected to abide by the fair hiring rules of the Tripartite Alliance for Fair &amp; Progressive Employment Practices (TAFEP) in considering hiring locals.</w:t>
      </w:r>
    </w:p>
    <w:p w14:paraId="2643EE1E" w14:textId="77777777" w:rsidR="001D49B0" w:rsidRPr="00010327" w:rsidRDefault="00243CC1">
      <w:pPr>
        <w:pStyle w:val="af"/>
        <w:numPr>
          <w:ilvl w:val="1"/>
          <w:numId w:val="1"/>
        </w:numPr>
        <w:jc w:val="both"/>
        <w:rPr>
          <w:rFonts w:ascii="Times New Roman" w:eastAsia="楷体" w:hAnsi="Times New Roman" w:cs="Times New Roman"/>
          <w:b/>
          <w:bCs/>
          <w:sz w:val="24"/>
          <w:szCs w:val="24"/>
        </w:rPr>
      </w:pPr>
      <w:r w:rsidRPr="00010327">
        <w:rPr>
          <w:rFonts w:ascii="Times New Roman" w:eastAsia="楷体" w:hAnsi="Times New Roman" w:cs="Times New Roman"/>
          <w:b/>
          <w:bCs/>
          <w:sz w:val="24"/>
          <w:szCs w:val="24"/>
        </w:rPr>
        <w:t>Are there any exchange control restrictions in terms of remittance of capital, profits and dividends?</w:t>
      </w:r>
    </w:p>
    <w:p w14:paraId="1712C11A" w14:textId="77777777" w:rsidR="001D49B0" w:rsidRDefault="00243CC1">
      <w:pPr>
        <w:numPr>
          <w:ilvl w:val="0"/>
          <w:numId w:val="5"/>
        </w:numPr>
        <w:jc w:val="both"/>
        <w:rPr>
          <w:rFonts w:ascii="Times New Roman" w:eastAsia="楷体" w:hAnsi="Times New Roman" w:cs="Times New Roman"/>
          <w:bCs/>
          <w:sz w:val="24"/>
          <w:szCs w:val="24"/>
        </w:rPr>
      </w:pPr>
      <w:r>
        <w:rPr>
          <w:rFonts w:ascii="Times New Roman" w:eastAsia="楷体" w:hAnsi="Times New Roman" w:cs="Times New Roman"/>
          <w:bCs/>
          <w:sz w:val="24"/>
          <w:szCs w:val="24"/>
        </w:rPr>
        <w:t>There are no exchange control restrictions in terms of remittance of capital, profits and dividends.</w:t>
      </w:r>
    </w:p>
    <w:p w14:paraId="4586D1DF" w14:textId="77777777" w:rsidR="001D49B0" w:rsidRDefault="001D49B0">
      <w:pPr>
        <w:jc w:val="both"/>
        <w:rPr>
          <w:rFonts w:ascii="Times New Roman" w:eastAsia="楷体" w:hAnsi="Times New Roman" w:cs="Times New Roman"/>
          <w:bCs/>
          <w:sz w:val="24"/>
          <w:szCs w:val="24"/>
          <w:lang w:eastAsia="zh-CN"/>
        </w:rPr>
      </w:pPr>
    </w:p>
    <w:p w14:paraId="602E202B" w14:textId="77777777" w:rsidR="001D49B0" w:rsidRPr="00010327" w:rsidRDefault="00243CC1">
      <w:pPr>
        <w:pStyle w:val="af"/>
        <w:numPr>
          <w:ilvl w:val="1"/>
          <w:numId w:val="1"/>
        </w:numPr>
        <w:jc w:val="both"/>
        <w:rPr>
          <w:rFonts w:ascii="Times New Roman" w:eastAsia="楷体" w:hAnsi="Times New Roman" w:cs="Times New Roman"/>
          <w:b/>
          <w:bCs/>
          <w:sz w:val="24"/>
          <w:szCs w:val="24"/>
        </w:rPr>
      </w:pPr>
      <w:r w:rsidRPr="00010327">
        <w:rPr>
          <w:rFonts w:ascii="Times New Roman" w:eastAsia="楷体" w:hAnsi="Times New Roman" w:cs="Times New Roman"/>
          <w:b/>
          <w:bCs/>
          <w:sz w:val="24"/>
          <w:szCs w:val="24"/>
        </w:rPr>
        <w:t>What are the most common types of corporate legal entities established for FDI? For each type of corporate legal entities, please introduce the internal corporate governance structure. What types of corporate legal entities are recommended for partially or wholly foreign owned corporate legal entities?</w:t>
      </w:r>
    </w:p>
    <w:p w14:paraId="6494E863" w14:textId="77777777" w:rsidR="001D49B0" w:rsidRDefault="00243CC1">
      <w:pPr>
        <w:numPr>
          <w:ilvl w:val="0"/>
          <w:numId w:val="2"/>
        </w:numPr>
        <w:jc w:val="both"/>
        <w:rPr>
          <w:rFonts w:ascii="Times New Roman" w:eastAsia="楷体" w:hAnsi="Times New Roman" w:cs="Times New Roman"/>
          <w:bCs/>
          <w:sz w:val="24"/>
          <w:szCs w:val="24"/>
        </w:rPr>
      </w:pPr>
      <w:r>
        <w:rPr>
          <w:rFonts w:ascii="Times New Roman" w:eastAsia="楷体" w:hAnsi="Times New Roman" w:cs="Times New Roman"/>
          <w:sz w:val="24"/>
          <w:szCs w:val="24"/>
          <w:shd w:val="clear" w:color="auto" w:fill="FFFFFF"/>
        </w:rPr>
        <w:lastRenderedPageBreak/>
        <w:t>The most common and most preferred type of entity among entrepreneurs in Singapore is the </w:t>
      </w:r>
      <w:r>
        <w:rPr>
          <w:rStyle w:val="ad"/>
          <w:rFonts w:ascii="Times New Roman" w:eastAsia="楷体" w:hAnsi="Times New Roman" w:cs="Times New Roman"/>
          <w:sz w:val="24"/>
          <w:szCs w:val="24"/>
          <w:shd w:val="clear" w:color="auto" w:fill="FFFFFF"/>
        </w:rPr>
        <w:t>Private Limited Company</w:t>
      </w:r>
      <w:r>
        <w:rPr>
          <w:rFonts w:ascii="Times New Roman" w:eastAsia="楷体" w:hAnsi="Times New Roman" w:cs="Times New Roman"/>
          <w:sz w:val="24"/>
          <w:szCs w:val="24"/>
          <w:shd w:val="clear" w:color="auto" w:fill="FFFFFF"/>
        </w:rPr>
        <w:t>. The shares of a </w:t>
      </w:r>
      <w:hyperlink r:id="rId8" w:history="1">
        <w:r>
          <w:rPr>
            <w:rStyle w:val="ad"/>
            <w:rFonts w:ascii="Times New Roman" w:eastAsia="楷体" w:hAnsi="Times New Roman" w:cs="Times New Roman"/>
            <w:sz w:val="24"/>
            <w:szCs w:val="24"/>
            <w:shd w:val="clear" w:color="auto" w:fill="FFFFFF"/>
          </w:rPr>
          <w:t>Private Limited Company</w:t>
        </w:r>
      </w:hyperlink>
      <w:r>
        <w:rPr>
          <w:rFonts w:ascii="Times New Roman" w:eastAsia="楷体" w:hAnsi="Times New Roman" w:cs="Times New Roman"/>
          <w:sz w:val="24"/>
          <w:szCs w:val="24"/>
          <w:shd w:val="clear" w:color="auto" w:fill="FFFFFF"/>
        </w:rPr>
        <w:t xml:space="preserve"> are not made available to the general public, all of its shares are held privately. The number of shareholders in a Private Limited Company must not be more than 50. In Singapore, the names of this type of entity have the suffix ‘Private Limited’ or ‘Pte Ltd’. </w:t>
      </w:r>
      <w:r>
        <w:rPr>
          <w:rFonts w:ascii="Times New Roman" w:eastAsia="楷体" w:hAnsi="Times New Roman" w:cs="Times New Roman"/>
          <w:sz w:val="24"/>
          <w:szCs w:val="24"/>
          <w:lang w:val="en-SG"/>
        </w:rPr>
        <w:t>This is the most popular entity type because besides limiting the liability of shareholders, it also provides greater control of ownership. The ownership is easily transferable, either as a whole or part, by simply transferring the shares. Assets, licenses and permits can be easily transferred in the case of a change in ownership. It is relatively easy to raise capital by issuing shares to new shareholders or by issuing additional shares to existing shareholders. This facilitates growth and expansion of the business. It also improves the access to financial assistance from banks and other financial institutions.</w:t>
      </w:r>
      <w:r>
        <w:rPr>
          <w:rFonts w:ascii="Times New Roman" w:eastAsia="楷体" w:hAnsi="Times New Roman" w:cs="Times New Roman"/>
          <w:bCs/>
          <w:sz w:val="24"/>
          <w:szCs w:val="24"/>
        </w:rPr>
        <w:t xml:space="preserve"> </w:t>
      </w:r>
      <w:r>
        <w:rPr>
          <w:rFonts w:ascii="Times New Roman" w:eastAsia="楷体" w:hAnsi="Times New Roman" w:cs="Times New Roman"/>
          <w:sz w:val="24"/>
          <w:szCs w:val="24"/>
          <w:lang w:val="en-SG"/>
        </w:rPr>
        <w:t>The death or insolvency of shareholders will not impede the existence of the company. It has legal perpetuity until it is taken off the register.</w:t>
      </w:r>
    </w:p>
    <w:p w14:paraId="3FA404D7" w14:textId="77777777" w:rsidR="001D49B0" w:rsidRDefault="001D49B0">
      <w:pPr>
        <w:ind w:left="1440"/>
        <w:jc w:val="both"/>
        <w:rPr>
          <w:rFonts w:ascii="Times New Roman" w:eastAsia="楷体" w:hAnsi="Times New Roman" w:cs="Times New Roman"/>
          <w:bCs/>
          <w:sz w:val="24"/>
          <w:szCs w:val="24"/>
          <w:lang w:eastAsia="zh-CN"/>
        </w:rPr>
      </w:pPr>
    </w:p>
    <w:p w14:paraId="125A9502" w14:textId="77777777" w:rsidR="001D49B0" w:rsidRDefault="00243CC1">
      <w:pPr>
        <w:numPr>
          <w:ilvl w:val="0"/>
          <w:numId w:val="2"/>
        </w:numPr>
        <w:jc w:val="both"/>
        <w:rPr>
          <w:rFonts w:ascii="Times New Roman" w:eastAsia="楷体" w:hAnsi="Times New Roman" w:cs="Times New Roman"/>
          <w:bCs/>
          <w:sz w:val="24"/>
          <w:szCs w:val="24"/>
        </w:rPr>
      </w:pPr>
      <w:r>
        <w:rPr>
          <w:rFonts w:ascii="Times New Roman" w:eastAsia="楷体" w:hAnsi="Times New Roman" w:cs="Times New Roman"/>
          <w:bCs/>
          <w:sz w:val="24"/>
          <w:szCs w:val="24"/>
        </w:rPr>
        <w:t>The Private Limited Company</w:t>
      </w:r>
      <w:r>
        <w:rPr>
          <w:rFonts w:ascii="Times New Roman" w:eastAsia="楷体" w:hAnsi="Times New Roman" w:cs="Times New Roman"/>
          <w:sz w:val="24"/>
          <w:szCs w:val="24"/>
        </w:rPr>
        <w:t xml:space="preserve"> is the recommended </w:t>
      </w:r>
      <w:r>
        <w:rPr>
          <w:rFonts w:ascii="Times New Roman" w:eastAsia="楷体" w:hAnsi="Times New Roman" w:cs="Times New Roman"/>
          <w:bCs/>
          <w:sz w:val="24"/>
          <w:szCs w:val="24"/>
        </w:rPr>
        <w:t xml:space="preserve">corporate legal entity to be established for FDI as it is a legal entity separate from its shareholders. A Private Limited Company </w:t>
      </w:r>
      <w:r>
        <w:rPr>
          <w:rFonts w:ascii="Times New Roman" w:eastAsia="楷体" w:hAnsi="Times New Roman" w:cs="Times New Roman"/>
          <w:sz w:val="24"/>
          <w:szCs w:val="24"/>
          <w:shd w:val="clear" w:color="auto" w:fill="FFFFFF"/>
        </w:rPr>
        <w:t>can enter into contracts and own assets in its own name. It can sue and be sued in its own name.  The liability of a Private Limited Company is limited to its share capital and each member’s liability is limited to the share capital subscribed by the member (shareholder). The shareholder(s) can be an individual or a corporation. The shareholders are not personally liable for the liabilities of the company nor are the assets of the shareholders subject to being seized by creditors to satisfy the liabilities of the company.</w:t>
      </w:r>
    </w:p>
    <w:p w14:paraId="38132C98" w14:textId="77777777" w:rsidR="001D49B0" w:rsidRDefault="001D49B0">
      <w:pPr>
        <w:pStyle w:val="af"/>
        <w:rPr>
          <w:rFonts w:ascii="Times New Roman" w:eastAsia="楷体" w:hAnsi="Times New Roman" w:cs="Times New Roman"/>
          <w:bCs/>
          <w:sz w:val="24"/>
          <w:szCs w:val="24"/>
        </w:rPr>
      </w:pPr>
    </w:p>
    <w:p w14:paraId="52A285E7" w14:textId="77777777" w:rsidR="001D49B0" w:rsidRDefault="00243CC1">
      <w:pPr>
        <w:numPr>
          <w:ilvl w:val="0"/>
          <w:numId w:val="2"/>
        </w:numPr>
        <w:jc w:val="both"/>
        <w:rPr>
          <w:rFonts w:ascii="Times New Roman" w:eastAsia="楷体" w:hAnsi="Times New Roman" w:cs="Times New Roman"/>
          <w:bCs/>
          <w:sz w:val="24"/>
          <w:szCs w:val="24"/>
        </w:rPr>
      </w:pPr>
      <w:r>
        <w:rPr>
          <w:rFonts w:ascii="Times New Roman" w:eastAsia="楷体" w:hAnsi="Times New Roman" w:cs="Times New Roman"/>
          <w:sz w:val="24"/>
          <w:szCs w:val="24"/>
        </w:rPr>
        <w:t xml:space="preserve">Since sole-proprietorship and partnership involve unlimited liability to the sole proprietor and to the partners respectively, if the sole proprietor or the partners respectively is/are not physically present in Singapore to manage the business, they may not be able to adequately control and monitor the business. </w:t>
      </w:r>
      <w:bookmarkStart w:id="6" w:name="OLE_LINK13"/>
      <w:bookmarkStart w:id="7" w:name="OLE_LINK12"/>
      <w:r>
        <w:rPr>
          <w:rFonts w:ascii="Times New Roman" w:eastAsia="楷体" w:hAnsi="Times New Roman" w:cs="Times New Roman"/>
          <w:sz w:val="24"/>
          <w:szCs w:val="24"/>
        </w:rPr>
        <w:t>This may lead to the business failing in certain obligations and being personally vulnerable to creditors and for statutory or regulatory derelictions</w:t>
      </w:r>
      <w:bookmarkEnd w:id="6"/>
      <w:bookmarkEnd w:id="7"/>
      <w:r>
        <w:rPr>
          <w:rFonts w:ascii="Times New Roman" w:eastAsia="楷体" w:hAnsi="Times New Roman" w:cs="Times New Roman"/>
          <w:sz w:val="24"/>
          <w:szCs w:val="24"/>
        </w:rPr>
        <w:t xml:space="preserve">, thereby drawing unwarranted risks to one’s personal assets. The Private Limited Company is a safe and practical choice of entity which limits one’s liability and further, the foreigner </w:t>
      </w:r>
      <w:r>
        <w:rPr>
          <w:rFonts w:ascii="Times New Roman" w:eastAsia="楷体" w:hAnsi="Times New Roman" w:cs="Times New Roman"/>
          <w:sz w:val="24"/>
          <w:szCs w:val="24"/>
        </w:rPr>
        <w:lastRenderedPageBreak/>
        <w:t xml:space="preserve">may apply for an Employment Pass or </w:t>
      </w:r>
      <w:proofErr w:type="spellStart"/>
      <w:r>
        <w:rPr>
          <w:rFonts w:ascii="Times New Roman" w:eastAsia="楷体" w:hAnsi="Times New Roman" w:cs="Times New Roman"/>
          <w:sz w:val="24"/>
          <w:szCs w:val="24"/>
        </w:rPr>
        <w:t>Entrepass</w:t>
      </w:r>
      <w:proofErr w:type="spellEnd"/>
      <w:r>
        <w:rPr>
          <w:rFonts w:ascii="Times New Roman" w:eastAsia="楷体" w:hAnsi="Times New Roman" w:cs="Times New Roman"/>
          <w:sz w:val="24"/>
          <w:szCs w:val="24"/>
        </w:rPr>
        <w:t xml:space="preserve"> to be present in Singapore and manage the business.</w:t>
      </w:r>
    </w:p>
    <w:p w14:paraId="3FF7E215" w14:textId="77777777" w:rsidR="001D49B0" w:rsidRDefault="001D49B0">
      <w:pPr>
        <w:jc w:val="both"/>
        <w:rPr>
          <w:rFonts w:ascii="Times New Roman" w:eastAsia="楷体" w:hAnsi="Times New Roman" w:cs="Times New Roman"/>
          <w:bCs/>
          <w:sz w:val="24"/>
          <w:szCs w:val="24"/>
          <w:lang w:eastAsia="zh-CN"/>
        </w:rPr>
      </w:pPr>
    </w:p>
    <w:p w14:paraId="23A92070" w14:textId="77777777" w:rsidR="001D49B0" w:rsidRDefault="00243CC1">
      <w:pPr>
        <w:numPr>
          <w:ilvl w:val="0"/>
          <w:numId w:val="2"/>
        </w:numPr>
        <w:jc w:val="both"/>
        <w:rPr>
          <w:rFonts w:ascii="Times New Roman" w:eastAsia="楷体" w:hAnsi="Times New Roman" w:cs="Times New Roman"/>
          <w:bCs/>
          <w:sz w:val="24"/>
          <w:szCs w:val="24"/>
        </w:rPr>
      </w:pPr>
      <w:r>
        <w:rPr>
          <w:rFonts w:ascii="Times New Roman" w:eastAsia="楷体" w:hAnsi="Times New Roman" w:cs="Times New Roman"/>
          <w:sz w:val="24"/>
          <w:szCs w:val="24"/>
          <w:shd w:val="clear" w:color="auto" w:fill="FFFFFF"/>
        </w:rPr>
        <w:t>A Limited Liability Company (LLC) is a company incorporated by registering with the Accounting and Corporate Regulatory Authority (ACRA) of Singapore under the Companies Act. It is a separate legal entity from its shareholders, meaning there is a corporate veil legally separating the shareholder from the entity. An LLC can enter into contracts and own assets in its own name. It can sue and be sued in its own name.  The liability of the company is limited to its share capital and each member’s liability is limited to the share capital subscribed by the member (shareholder). The shareholders can be an individual or a corporation. The personal assets of the shareholders are insulated from the liabilities of the company.</w:t>
      </w:r>
    </w:p>
    <w:p w14:paraId="2A4E363D" w14:textId="77777777" w:rsidR="001D49B0" w:rsidRDefault="001D49B0">
      <w:pPr>
        <w:pStyle w:val="af"/>
        <w:rPr>
          <w:rFonts w:ascii="Times New Roman" w:eastAsia="楷体" w:hAnsi="Times New Roman" w:cs="Times New Roman"/>
          <w:bCs/>
          <w:sz w:val="24"/>
          <w:szCs w:val="24"/>
        </w:rPr>
      </w:pPr>
    </w:p>
    <w:p w14:paraId="15839BED" w14:textId="77777777" w:rsidR="001D49B0" w:rsidRDefault="00243CC1">
      <w:pPr>
        <w:numPr>
          <w:ilvl w:val="0"/>
          <w:numId w:val="2"/>
        </w:numPr>
        <w:jc w:val="both"/>
        <w:rPr>
          <w:rFonts w:ascii="Times New Roman" w:eastAsia="楷体" w:hAnsi="Times New Roman" w:cs="Times New Roman"/>
          <w:bCs/>
          <w:sz w:val="24"/>
          <w:szCs w:val="24"/>
        </w:rPr>
      </w:pPr>
      <w:r>
        <w:rPr>
          <w:rFonts w:ascii="Times New Roman" w:eastAsia="楷体" w:hAnsi="Times New Roman" w:cs="Times New Roman"/>
          <w:sz w:val="24"/>
          <w:szCs w:val="24"/>
          <w:shd w:val="clear" w:color="auto" w:fill="FFFFFF"/>
        </w:rPr>
        <w:t xml:space="preserve">A </w:t>
      </w:r>
      <w:r>
        <w:rPr>
          <w:rStyle w:val="ab"/>
          <w:rFonts w:ascii="Times New Roman" w:eastAsia="楷体" w:hAnsi="Times New Roman" w:cs="Times New Roman"/>
          <w:sz w:val="24"/>
          <w:szCs w:val="24"/>
        </w:rPr>
        <w:t>Limited Liability Partnerships (LLP)</w:t>
      </w:r>
      <w:r>
        <w:rPr>
          <w:rFonts w:ascii="Times New Roman" w:eastAsia="楷体" w:hAnsi="Times New Roman" w:cs="Times New Roman"/>
          <w:sz w:val="24"/>
          <w:szCs w:val="24"/>
        </w:rPr>
        <w:t> integrates some of the main features of partnerships and companies. Two or more partners (individuals</w:t>
      </w:r>
      <w:r>
        <w:rPr>
          <w:rFonts w:ascii="Times New Roman" w:eastAsia="楷体" w:hAnsi="Times New Roman" w:cs="Times New Roman"/>
          <w:sz w:val="24"/>
          <w:szCs w:val="24"/>
          <w:lang w:eastAsia="zh-CN"/>
        </w:rPr>
        <w:t xml:space="preserve">, </w:t>
      </w:r>
      <w:r>
        <w:rPr>
          <w:rFonts w:ascii="Times New Roman" w:eastAsia="楷体" w:hAnsi="Times New Roman" w:cs="Times New Roman"/>
          <w:sz w:val="24"/>
          <w:szCs w:val="24"/>
        </w:rPr>
        <w:t>corporations, or another LLP) enter into an agreement to conduct business under specific terms and conditions that are mutually agreed by all partners. The liability of each partner is limited to the extent of his or her contribution. Like a company, it is a separate legal entity. Although the partners are not personally liable for the debts and losses of the LLP, the partners become personally liable in case of debts and losses arising from their own actions. The partners are not personally liable for the debts incurred by the other partners. The LLP has perpetuity and does not cease with changes in the partnership resulting from death, bankruptcy, resignation etc. Compliance requirements are minimal therefore the compliance cost is also low. This is generally suitable for professional practices such as doctors, lawyers, engineers, architects etc.</w:t>
      </w:r>
      <w:r>
        <w:rPr>
          <w:rFonts w:ascii="Times New Roman" w:eastAsia="楷体" w:hAnsi="Times New Roman" w:cs="Times New Roman"/>
          <w:bCs/>
          <w:sz w:val="24"/>
          <w:szCs w:val="24"/>
        </w:rPr>
        <w:t xml:space="preserve"> </w:t>
      </w:r>
    </w:p>
    <w:p w14:paraId="75019DCC" w14:textId="77777777" w:rsidR="001D49B0" w:rsidRDefault="001D49B0">
      <w:pPr>
        <w:ind w:left="1440"/>
        <w:jc w:val="both"/>
        <w:rPr>
          <w:rFonts w:ascii="Times New Roman" w:eastAsia="楷体" w:hAnsi="Times New Roman" w:cs="Times New Roman"/>
          <w:bCs/>
          <w:sz w:val="24"/>
          <w:szCs w:val="24"/>
          <w:lang w:eastAsia="zh-CN"/>
        </w:rPr>
      </w:pPr>
    </w:p>
    <w:p w14:paraId="5A0F9EFB" w14:textId="77777777" w:rsidR="001D49B0" w:rsidRDefault="00243CC1">
      <w:pPr>
        <w:numPr>
          <w:ilvl w:val="0"/>
          <w:numId w:val="2"/>
        </w:numPr>
        <w:jc w:val="both"/>
        <w:rPr>
          <w:rFonts w:ascii="Times New Roman" w:eastAsia="楷体" w:hAnsi="Times New Roman" w:cs="Times New Roman"/>
          <w:bCs/>
          <w:sz w:val="24"/>
          <w:szCs w:val="24"/>
        </w:rPr>
      </w:pPr>
      <w:r>
        <w:rPr>
          <w:rFonts w:ascii="Times New Roman" w:eastAsia="楷体" w:hAnsi="Times New Roman" w:cs="Times New Roman"/>
          <w:sz w:val="24"/>
          <w:szCs w:val="24"/>
          <w:shd w:val="clear" w:color="auto" w:fill="FFFFFF"/>
        </w:rPr>
        <w:t>A Variable Capital Company (VCC)</w:t>
      </w:r>
      <w:r>
        <w:rPr>
          <w:rFonts w:ascii="Times New Roman" w:eastAsia="楷体" w:hAnsi="Times New Roman" w:cs="Times New Roman"/>
          <w:bCs/>
          <w:sz w:val="24"/>
          <w:szCs w:val="24"/>
        </w:rPr>
        <w:t xml:space="preserve"> </w:t>
      </w:r>
      <w:r>
        <w:rPr>
          <w:rFonts w:ascii="Times New Roman" w:eastAsia="楷体" w:hAnsi="Times New Roman" w:cs="Times New Roman"/>
          <w:spacing w:val="-3"/>
          <w:sz w:val="24"/>
          <w:szCs w:val="24"/>
        </w:rPr>
        <w:t>is a relatively new corporate entity structure regulated under its own legislation, the Variable Capital Companies Act 2018. With the VCC, several collective investment schemes may be gathered under the umbrella of a single corporate entity and yet remain ring-fenced from each other. </w:t>
      </w:r>
      <w:bookmarkStart w:id="8" w:name="OLE_LINK15"/>
      <w:bookmarkStart w:id="9" w:name="OLE_LINK14"/>
      <w:r>
        <w:rPr>
          <w:rFonts w:ascii="Times New Roman" w:eastAsia="楷体" w:hAnsi="Times New Roman" w:cs="Times New Roman"/>
          <w:spacing w:val="-3"/>
          <w:sz w:val="24"/>
          <w:szCs w:val="24"/>
        </w:rPr>
        <w:t xml:space="preserve">This structure allows </w:t>
      </w:r>
      <w:r>
        <w:rPr>
          <w:rFonts w:ascii="Times New Roman" w:eastAsia="楷体" w:hAnsi="Times New Roman" w:cs="Times New Roman"/>
          <w:sz w:val="24"/>
          <w:szCs w:val="24"/>
          <w:lang w:val="en-SG"/>
        </w:rPr>
        <w:t>segmented investment portfolios in which sub-funds, assets and liabilities can be clearly separated and ring-fenced</w:t>
      </w:r>
      <w:r>
        <w:rPr>
          <w:rFonts w:ascii="Times New Roman" w:eastAsia="楷体" w:hAnsi="Times New Roman" w:cs="Times New Roman"/>
          <w:bCs/>
          <w:sz w:val="24"/>
          <w:szCs w:val="24"/>
        </w:rPr>
        <w:t xml:space="preserve">. </w:t>
      </w:r>
      <w:bookmarkEnd w:id="8"/>
      <w:bookmarkEnd w:id="9"/>
      <w:r>
        <w:rPr>
          <w:rFonts w:ascii="Times New Roman" w:eastAsia="楷体" w:hAnsi="Times New Roman" w:cs="Times New Roman"/>
          <w:sz w:val="24"/>
          <w:szCs w:val="24"/>
          <w:lang w:val="en-SG"/>
        </w:rPr>
        <w:t xml:space="preserve">Investors have the </w:t>
      </w:r>
      <w:r>
        <w:rPr>
          <w:rFonts w:ascii="Times New Roman" w:eastAsia="楷体" w:hAnsi="Times New Roman" w:cs="Times New Roman"/>
          <w:sz w:val="24"/>
          <w:szCs w:val="24"/>
          <w:lang w:val="en-SG"/>
        </w:rPr>
        <w:lastRenderedPageBreak/>
        <w:t>flexibility to enter and exit the fund as computation of their investment value is straightforward with the capital of the VCC being equal to the net assets. The VCC also promotes cost efficiencies by having a single administrator, fund manager, custodian, auditor and compliance officer managing the main and sub funds as opposed to juggling multiple funds. It also allows distribution of dividends from the capital to meet dividend obligation as opposed to only being allowed to distribute from the profits for a traditional corporate vehicle.</w:t>
      </w:r>
    </w:p>
    <w:p w14:paraId="2452F766" w14:textId="77777777" w:rsidR="001D49B0" w:rsidRDefault="001D49B0">
      <w:pPr>
        <w:pStyle w:val="af"/>
        <w:rPr>
          <w:rFonts w:ascii="Times New Roman" w:eastAsia="楷体" w:hAnsi="Times New Roman" w:cs="Times New Roman"/>
          <w:bCs/>
          <w:sz w:val="24"/>
          <w:szCs w:val="24"/>
        </w:rPr>
      </w:pPr>
    </w:p>
    <w:p w14:paraId="1DE9D355" w14:textId="77777777" w:rsidR="001D49B0" w:rsidRPr="00010327" w:rsidRDefault="00243CC1">
      <w:pPr>
        <w:ind w:left="560"/>
        <w:jc w:val="both"/>
        <w:rPr>
          <w:rStyle w:val="ae"/>
          <w:rFonts w:ascii="Times New Roman" w:eastAsia="楷体" w:hAnsi="Times New Roman" w:cs="Times New Roman"/>
          <w:b/>
          <w:sz w:val="24"/>
          <w:szCs w:val="24"/>
        </w:rPr>
      </w:pPr>
      <w:r w:rsidRPr="00010327">
        <w:rPr>
          <w:rFonts w:ascii="Times New Roman" w:eastAsia="楷体" w:hAnsi="Times New Roman" w:cs="Times New Roman"/>
          <w:b/>
          <w:bCs/>
          <w:sz w:val="24"/>
          <w:szCs w:val="24"/>
        </w:rPr>
        <w:t xml:space="preserve">1.8. </w:t>
      </w:r>
      <w:r w:rsidRPr="00010327">
        <w:rPr>
          <w:rFonts w:ascii="Times New Roman" w:eastAsia="楷体" w:hAnsi="Times New Roman" w:cs="Times New Roman"/>
          <w:b/>
          <w:bCs/>
          <w:sz w:val="24"/>
          <w:szCs w:val="24"/>
        </w:rPr>
        <w:tab/>
        <w:t>What is the procedure of registration and incorporation of foreign-owned companies?</w:t>
      </w:r>
    </w:p>
    <w:p w14:paraId="2E5D1E19" w14:textId="77777777" w:rsidR="001D49B0" w:rsidRDefault="00243CC1">
      <w:pPr>
        <w:pStyle w:val="a3"/>
        <w:numPr>
          <w:ilvl w:val="0"/>
          <w:numId w:val="3"/>
        </w:numPr>
        <w:spacing w:line="276" w:lineRule="auto"/>
        <w:rPr>
          <w:rFonts w:ascii="Times New Roman" w:eastAsia="楷体" w:hAnsi="Times New Roman" w:cs="Times New Roman"/>
          <w:color w:val="333333"/>
          <w:sz w:val="24"/>
          <w:szCs w:val="24"/>
        </w:rPr>
      </w:pPr>
      <w:r>
        <w:rPr>
          <w:rFonts w:ascii="Times New Roman" w:eastAsia="楷体" w:hAnsi="Times New Roman" w:cs="Times New Roman"/>
          <w:sz w:val="24"/>
          <w:szCs w:val="24"/>
        </w:rPr>
        <w:t xml:space="preserve">Regarding the process for incorporating a subsidiary or local company, it will involve procedures such as application to ACRA and registration of company name. </w:t>
      </w:r>
      <w:r>
        <w:rPr>
          <w:rFonts w:ascii="Times New Roman" w:eastAsia="楷体" w:hAnsi="Times New Roman" w:cs="Times New Roman"/>
          <w:color w:val="333333"/>
          <w:sz w:val="24"/>
          <w:szCs w:val="24"/>
        </w:rPr>
        <w:t> </w:t>
      </w:r>
    </w:p>
    <w:p w14:paraId="45588417" w14:textId="77777777" w:rsidR="001D49B0" w:rsidRDefault="00243CC1">
      <w:pPr>
        <w:numPr>
          <w:ilvl w:val="0"/>
          <w:numId w:val="3"/>
        </w:numPr>
        <w:rPr>
          <w:rFonts w:ascii="Times New Roman" w:eastAsia="楷体" w:hAnsi="Times New Roman" w:cs="Times New Roman"/>
          <w:bCs/>
          <w:sz w:val="24"/>
          <w:szCs w:val="24"/>
        </w:rPr>
      </w:pPr>
      <w:r>
        <w:rPr>
          <w:rFonts w:ascii="Times New Roman" w:eastAsia="楷体" w:hAnsi="Times New Roman" w:cs="Times New Roman"/>
          <w:bCs/>
          <w:sz w:val="24"/>
          <w:szCs w:val="24"/>
        </w:rPr>
        <w:t>Other modes of setting up operations in Singapore for foreign companies include (1) transfer of Registration, (2) setting up a Representative Office and (3) registering a branch of a Foreign Company. Information regarding each of the said ways can be found on the ACRA website. (</w:t>
      </w:r>
      <w:bookmarkStart w:id="10" w:name="OLE_LINK22"/>
      <w:r>
        <w:fldChar w:fldCharType="begin"/>
      </w:r>
      <w:r>
        <w:rPr>
          <w:rFonts w:ascii="Times New Roman" w:hAnsi="Times New Roman" w:cs="Times New Roman"/>
          <w:sz w:val="24"/>
          <w:szCs w:val="24"/>
        </w:rPr>
        <w:instrText xml:space="preserve"> HYPERLINK "https://www.acra.gov.sg/how-to-guides/registering-a-foreign-company" </w:instrText>
      </w:r>
      <w:r>
        <w:fldChar w:fldCharType="separate"/>
      </w:r>
      <w:r>
        <w:rPr>
          <w:rStyle w:val="ad"/>
          <w:rFonts w:ascii="Times New Roman" w:eastAsia="楷体" w:hAnsi="Times New Roman" w:cs="Times New Roman"/>
          <w:bCs/>
          <w:sz w:val="24"/>
          <w:szCs w:val="24"/>
        </w:rPr>
        <w:t>https://www.acra.gov.sg/how-to-guides/registering-a-foreign-company</w:t>
      </w:r>
      <w:r>
        <w:rPr>
          <w:rStyle w:val="ad"/>
          <w:rFonts w:ascii="Times New Roman" w:eastAsia="楷体" w:hAnsi="Times New Roman" w:cs="Times New Roman"/>
          <w:bCs/>
          <w:sz w:val="24"/>
          <w:szCs w:val="24"/>
        </w:rPr>
        <w:fldChar w:fldCharType="end"/>
      </w:r>
      <w:bookmarkEnd w:id="10"/>
      <w:r>
        <w:rPr>
          <w:rFonts w:ascii="Times New Roman" w:eastAsia="楷体" w:hAnsi="Times New Roman" w:cs="Times New Roman"/>
          <w:bCs/>
          <w:sz w:val="24"/>
          <w:szCs w:val="24"/>
        </w:rPr>
        <w:t>). However, it must be noted that since the aforementioned three options of registering a presence in Singapore are not incorporation, there is thus no creation of a separate legal entity and so they would be more limited in terms of the activities that can be undertaken.</w:t>
      </w:r>
    </w:p>
    <w:p w14:paraId="6FD04C7B" w14:textId="77777777" w:rsidR="001D49B0" w:rsidRPr="00010327" w:rsidRDefault="00243CC1">
      <w:pPr>
        <w:ind w:left="560"/>
        <w:jc w:val="both"/>
        <w:rPr>
          <w:rFonts w:ascii="Times New Roman" w:eastAsia="楷体" w:hAnsi="Times New Roman" w:cs="Times New Roman"/>
          <w:b/>
          <w:bCs/>
          <w:sz w:val="24"/>
          <w:szCs w:val="24"/>
        </w:rPr>
      </w:pPr>
      <w:r w:rsidRPr="00010327">
        <w:rPr>
          <w:rFonts w:ascii="Times New Roman" w:eastAsia="楷体" w:hAnsi="Times New Roman" w:cs="Times New Roman"/>
          <w:b/>
          <w:bCs/>
          <w:sz w:val="24"/>
          <w:szCs w:val="24"/>
        </w:rPr>
        <w:t xml:space="preserve">1.9. </w:t>
      </w:r>
      <w:r w:rsidRPr="00010327">
        <w:rPr>
          <w:rFonts w:ascii="Times New Roman" w:eastAsia="楷体" w:hAnsi="Times New Roman" w:cs="Times New Roman"/>
          <w:b/>
          <w:bCs/>
          <w:sz w:val="24"/>
          <w:szCs w:val="24"/>
        </w:rPr>
        <w:tab/>
        <w:t>What are the documents and materials that the foreign investors need to prepare for that purpose? Is notarization or certification required?</w:t>
      </w:r>
    </w:p>
    <w:p w14:paraId="2512FAA1" w14:textId="77777777" w:rsidR="001D49B0" w:rsidRDefault="001D49B0">
      <w:pPr>
        <w:ind w:left="560" w:firstLineChars="400" w:firstLine="960"/>
        <w:jc w:val="both"/>
        <w:rPr>
          <w:rFonts w:ascii="Times New Roman" w:eastAsia="楷体" w:hAnsi="Times New Roman" w:cs="Times New Roman"/>
          <w:sz w:val="24"/>
          <w:szCs w:val="24"/>
          <w:lang w:val="en-SG" w:eastAsia="zh-CN"/>
        </w:rPr>
      </w:pPr>
    </w:p>
    <w:p w14:paraId="6425B459" w14:textId="77777777" w:rsidR="001D49B0" w:rsidRDefault="00243CC1">
      <w:pPr>
        <w:pStyle w:val="a3"/>
        <w:numPr>
          <w:ilvl w:val="0"/>
          <w:numId w:val="3"/>
        </w:numPr>
        <w:spacing w:line="276" w:lineRule="auto"/>
        <w:rPr>
          <w:rFonts w:ascii="Times New Roman" w:eastAsia="楷体" w:hAnsi="Times New Roman" w:cs="Times New Roman"/>
          <w:sz w:val="24"/>
          <w:szCs w:val="24"/>
        </w:rPr>
      </w:pPr>
      <w:r>
        <w:rPr>
          <w:rFonts w:ascii="Times New Roman" w:eastAsia="楷体" w:hAnsi="Times New Roman" w:cs="Times New Roman"/>
          <w:sz w:val="24"/>
          <w:szCs w:val="24"/>
        </w:rPr>
        <w:t>To incorporate a company in Singapore, foreign investors should observe the following requirements:</w:t>
      </w:r>
    </w:p>
    <w:p w14:paraId="1584AD93" w14:textId="77777777" w:rsidR="001D49B0" w:rsidRDefault="00243CC1">
      <w:pPr>
        <w:pStyle w:val="a3"/>
        <w:numPr>
          <w:ilvl w:val="0"/>
          <w:numId w:val="6"/>
        </w:numPr>
        <w:spacing w:line="276" w:lineRule="auto"/>
        <w:rPr>
          <w:rFonts w:ascii="Times New Roman" w:eastAsia="楷体" w:hAnsi="Times New Roman" w:cs="Times New Roman"/>
          <w:sz w:val="24"/>
          <w:szCs w:val="24"/>
        </w:rPr>
      </w:pPr>
      <w:bookmarkStart w:id="11" w:name="OLE_LINK1"/>
      <w:r>
        <w:rPr>
          <w:rFonts w:ascii="Times New Roman" w:eastAsia="楷体" w:hAnsi="Times New Roman" w:cs="Times New Roman"/>
          <w:sz w:val="24"/>
          <w:szCs w:val="24"/>
        </w:rPr>
        <w:t>Have a minimum of one shareholder. (100% Foreign shareholding is permitted, and the shareholder can be either an individual or a corporate entity)</w:t>
      </w:r>
      <w:bookmarkEnd w:id="11"/>
    </w:p>
    <w:p w14:paraId="1E03A1D1" w14:textId="77777777" w:rsidR="001D49B0" w:rsidRDefault="00243CC1">
      <w:pPr>
        <w:numPr>
          <w:ilvl w:val="0"/>
          <w:numId w:val="6"/>
        </w:numPr>
        <w:shd w:val="clear" w:color="auto" w:fill="FFFFFF"/>
        <w:spacing w:before="100" w:beforeAutospacing="1" w:after="100" w:afterAutospacing="1"/>
        <w:jc w:val="both"/>
        <w:rPr>
          <w:rFonts w:ascii="Times New Roman" w:eastAsia="楷体" w:hAnsi="Times New Roman" w:cs="Times New Roman"/>
          <w:sz w:val="24"/>
          <w:szCs w:val="24"/>
        </w:rPr>
      </w:pPr>
      <w:r>
        <w:rPr>
          <w:rFonts w:ascii="Times New Roman" w:eastAsia="楷体" w:hAnsi="Times New Roman" w:cs="Times New Roman"/>
          <w:sz w:val="24"/>
          <w:szCs w:val="24"/>
        </w:rPr>
        <w:t>At least one Singapore resident director. (Singapore residents and foreign resident individuals can be directors of a Singapore company. Corporate directors are not permitted. Singapore resident can be a Singapore citizen, a </w:t>
      </w:r>
      <w:hyperlink r:id="rId9" w:history="1">
        <w:r>
          <w:rPr>
            <w:rStyle w:val="ad"/>
            <w:rFonts w:ascii="Times New Roman" w:eastAsia="楷体" w:hAnsi="Times New Roman" w:cs="Times New Roman"/>
            <w:sz w:val="24"/>
            <w:szCs w:val="24"/>
          </w:rPr>
          <w:t>Singapore permanent resident</w:t>
        </w:r>
      </w:hyperlink>
      <w:r>
        <w:rPr>
          <w:rFonts w:ascii="Times New Roman" w:eastAsia="楷体" w:hAnsi="Times New Roman" w:cs="Times New Roman"/>
          <w:sz w:val="24"/>
          <w:szCs w:val="24"/>
        </w:rPr>
        <w:t xml:space="preserve"> or an Employment Pass holder, the appointment of appropriately qualified </w:t>
      </w:r>
      <w:r>
        <w:rPr>
          <w:rFonts w:ascii="Times New Roman" w:eastAsia="楷体" w:hAnsi="Times New Roman" w:cs="Times New Roman"/>
          <w:sz w:val="24"/>
          <w:szCs w:val="24"/>
        </w:rPr>
        <w:lastRenderedPageBreak/>
        <w:t xml:space="preserve">nominee directors are also permitted for </w:t>
      </w:r>
      <w:r>
        <w:rPr>
          <w:rFonts w:ascii="Times New Roman" w:eastAsia="楷体" w:hAnsi="Times New Roman" w:cs="Times New Roman"/>
          <w:strike/>
          <w:sz w:val="24"/>
          <w:szCs w:val="24"/>
        </w:rPr>
        <w:t>this</w:t>
      </w:r>
      <w:r>
        <w:rPr>
          <w:rFonts w:ascii="Times New Roman" w:eastAsia="楷体" w:hAnsi="Times New Roman" w:cs="Times New Roman"/>
          <w:sz w:val="24"/>
          <w:szCs w:val="24"/>
        </w:rPr>
        <w:t xml:space="preserve"> purpose of meeting this requirement)</w:t>
      </w:r>
    </w:p>
    <w:p w14:paraId="0C63985C" w14:textId="77777777" w:rsidR="001D49B0" w:rsidRDefault="00243CC1">
      <w:pPr>
        <w:numPr>
          <w:ilvl w:val="0"/>
          <w:numId w:val="6"/>
        </w:numPr>
        <w:shd w:val="clear" w:color="auto" w:fill="FFFFFF"/>
        <w:spacing w:before="100" w:beforeAutospacing="1" w:after="100" w:afterAutospacing="1"/>
        <w:jc w:val="both"/>
        <w:rPr>
          <w:rFonts w:ascii="Times New Roman" w:eastAsia="楷体" w:hAnsi="Times New Roman" w:cs="Times New Roman"/>
          <w:sz w:val="24"/>
          <w:szCs w:val="24"/>
        </w:rPr>
      </w:pPr>
      <w:r>
        <w:rPr>
          <w:rFonts w:ascii="Times New Roman" w:eastAsia="楷体" w:hAnsi="Times New Roman" w:cs="Times New Roman"/>
          <w:sz w:val="24"/>
          <w:szCs w:val="24"/>
        </w:rPr>
        <w:t>At least one Singapore resident company secretary</w:t>
      </w:r>
    </w:p>
    <w:p w14:paraId="63D8B532" w14:textId="77777777" w:rsidR="001D49B0" w:rsidRDefault="00243CC1">
      <w:pPr>
        <w:numPr>
          <w:ilvl w:val="0"/>
          <w:numId w:val="6"/>
        </w:numPr>
        <w:shd w:val="clear" w:color="auto" w:fill="FFFFFF"/>
        <w:spacing w:before="100" w:beforeAutospacing="1" w:after="100" w:afterAutospacing="1"/>
        <w:jc w:val="both"/>
        <w:rPr>
          <w:rFonts w:ascii="Times New Roman" w:eastAsia="楷体" w:hAnsi="Times New Roman" w:cs="Times New Roman"/>
          <w:sz w:val="24"/>
          <w:szCs w:val="24"/>
        </w:rPr>
      </w:pPr>
      <w:r>
        <w:rPr>
          <w:rFonts w:ascii="Times New Roman" w:eastAsia="楷体" w:hAnsi="Times New Roman" w:cs="Times New Roman"/>
          <w:sz w:val="24"/>
          <w:szCs w:val="24"/>
        </w:rPr>
        <w:t>Minimum initial paid-up share capital of S$1.00</w:t>
      </w:r>
    </w:p>
    <w:p w14:paraId="0BAC2CB6" w14:textId="77777777" w:rsidR="001D49B0" w:rsidRDefault="00243CC1">
      <w:pPr>
        <w:numPr>
          <w:ilvl w:val="0"/>
          <w:numId w:val="6"/>
        </w:numPr>
        <w:shd w:val="clear" w:color="auto" w:fill="FFFFFF"/>
        <w:spacing w:before="100" w:beforeAutospacing="1" w:after="100" w:afterAutospacing="1"/>
        <w:jc w:val="both"/>
        <w:rPr>
          <w:rFonts w:ascii="Times New Roman" w:eastAsia="楷体" w:hAnsi="Times New Roman" w:cs="Times New Roman"/>
          <w:sz w:val="24"/>
          <w:szCs w:val="24"/>
        </w:rPr>
      </w:pPr>
      <w:bookmarkStart w:id="12" w:name="OLE_LINK2"/>
      <w:bookmarkStart w:id="13" w:name="OLE_LINK16"/>
      <w:bookmarkStart w:id="14" w:name="OLE_LINK17"/>
      <w:r>
        <w:rPr>
          <w:rFonts w:ascii="Times New Roman" w:eastAsia="楷体" w:hAnsi="Times New Roman" w:cs="Times New Roman"/>
          <w:sz w:val="24"/>
          <w:szCs w:val="24"/>
        </w:rPr>
        <w:t>A local registered office address which cannot be a post office box.</w:t>
      </w:r>
    </w:p>
    <w:bookmarkEnd w:id="12"/>
    <w:bookmarkEnd w:id="13"/>
    <w:bookmarkEnd w:id="14"/>
    <w:p w14:paraId="673C0B05" w14:textId="77777777" w:rsidR="001D49B0" w:rsidRPr="00010327" w:rsidRDefault="00243CC1">
      <w:pPr>
        <w:ind w:left="560"/>
        <w:jc w:val="both"/>
        <w:rPr>
          <w:rFonts w:ascii="Times New Roman" w:eastAsia="楷体" w:hAnsi="Times New Roman" w:cs="Times New Roman"/>
          <w:b/>
          <w:bCs/>
          <w:sz w:val="24"/>
          <w:szCs w:val="24"/>
        </w:rPr>
      </w:pPr>
      <w:r w:rsidRPr="00010327">
        <w:rPr>
          <w:rFonts w:ascii="Times New Roman" w:eastAsia="楷体" w:hAnsi="Times New Roman" w:cs="Times New Roman"/>
          <w:b/>
          <w:bCs/>
          <w:sz w:val="24"/>
          <w:szCs w:val="24"/>
        </w:rPr>
        <w:t xml:space="preserve">1.10.  </w:t>
      </w:r>
      <w:bookmarkStart w:id="15" w:name="OLE_LINK3"/>
      <w:r w:rsidRPr="00010327">
        <w:rPr>
          <w:rFonts w:ascii="Times New Roman" w:eastAsia="楷体" w:hAnsi="Times New Roman" w:cs="Times New Roman"/>
          <w:b/>
          <w:bCs/>
          <w:sz w:val="24"/>
          <w:szCs w:val="24"/>
        </w:rPr>
        <w:t>How long does it normally take to complete the entire registration and incorporation process?</w:t>
      </w:r>
      <w:bookmarkEnd w:id="15"/>
    </w:p>
    <w:p w14:paraId="057FB4E8" w14:textId="77777777" w:rsidR="001D49B0" w:rsidRDefault="00243CC1">
      <w:pPr>
        <w:numPr>
          <w:ilvl w:val="0"/>
          <w:numId w:val="3"/>
        </w:numPr>
        <w:rPr>
          <w:rFonts w:ascii="Times New Roman" w:eastAsia="楷体" w:hAnsi="Times New Roman" w:cs="Times New Roman"/>
          <w:bCs/>
          <w:sz w:val="24"/>
          <w:szCs w:val="24"/>
        </w:rPr>
      </w:pPr>
      <w:r>
        <w:rPr>
          <w:rFonts w:ascii="Times New Roman" w:eastAsia="楷体" w:hAnsi="Times New Roman" w:cs="Times New Roman"/>
          <w:bCs/>
          <w:sz w:val="24"/>
          <w:szCs w:val="24"/>
        </w:rPr>
        <w:t>According to ACRA, the application is usually processed within 15 minutes after the name application fee is paid. It may take between 14 days to 2 months if the application needs to be referred to another agency for approval or review. For example, if the intention of the branch of a foreign company is to carry out activities involving the setting up of a private school, the application will be referred to the Ministry of Education.</w:t>
      </w:r>
    </w:p>
    <w:p w14:paraId="0F4BE5F3" w14:textId="77777777" w:rsidR="001D49B0" w:rsidRDefault="001D49B0">
      <w:pPr>
        <w:ind w:left="1440"/>
        <w:rPr>
          <w:rFonts w:ascii="Times New Roman" w:eastAsia="楷体" w:hAnsi="Times New Roman" w:cs="Times New Roman"/>
          <w:bCs/>
          <w:sz w:val="24"/>
          <w:szCs w:val="24"/>
        </w:rPr>
      </w:pPr>
    </w:p>
    <w:p w14:paraId="6DC1618F" w14:textId="77777777" w:rsidR="001D49B0" w:rsidRPr="00010327" w:rsidRDefault="00243CC1">
      <w:pPr>
        <w:numPr>
          <w:ilvl w:val="0"/>
          <w:numId w:val="7"/>
        </w:numPr>
        <w:ind w:left="840" w:hanging="420"/>
        <w:jc w:val="both"/>
        <w:rPr>
          <w:rFonts w:ascii="Times New Roman" w:eastAsia="楷体" w:hAnsi="Times New Roman" w:cs="Times New Roman"/>
          <w:b/>
          <w:bCs/>
          <w:sz w:val="24"/>
          <w:szCs w:val="24"/>
        </w:rPr>
      </w:pPr>
      <w:r w:rsidRPr="00010327">
        <w:rPr>
          <w:rFonts w:ascii="Times New Roman" w:eastAsia="楷体" w:hAnsi="Times New Roman" w:cs="Times New Roman"/>
          <w:b/>
          <w:bCs/>
          <w:sz w:val="24"/>
          <w:szCs w:val="24"/>
          <w:lang w:eastAsia="zh-CN"/>
        </w:rPr>
        <w:tab/>
      </w:r>
      <w:bookmarkStart w:id="16" w:name="OLE_LINK4"/>
      <w:r w:rsidRPr="00010327">
        <w:rPr>
          <w:rFonts w:ascii="Times New Roman" w:eastAsia="楷体" w:hAnsi="Times New Roman" w:cs="Times New Roman"/>
          <w:b/>
          <w:bCs/>
          <w:sz w:val="24"/>
          <w:szCs w:val="24"/>
        </w:rPr>
        <w:t>M&amp;A laws and regulations &amp; regulatory approvals</w:t>
      </w:r>
      <w:bookmarkEnd w:id="16"/>
    </w:p>
    <w:p w14:paraId="2EC89353" w14:textId="77777777" w:rsidR="001D49B0" w:rsidRPr="00010327" w:rsidRDefault="00243CC1">
      <w:pPr>
        <w:numPr>
          <w:ilvl w:val="1"/>
          <w:numId w:val="7"/>
        </w:numPr>
        <w:ind w:left="560"/>
        <w:jc w:val="both"/>
        <w:rPr>
          <w:rFonts w:ascii="Times New Roman" w:eastAsia="楷体" w:hAnsi="Times New Roman" w:cs="Times New Roman"/>
          <w:b/>
          <w:bCs/>
          <w:sz w:val="24"/>
          <w:szCs w:val="24"/>
        </w:rPr>
      </w:pPr>
      <w:r w:rsidRPr="00010327">
        <w:rPr>
          <w:rFonts w:ascii="Times New Roman" w:eastAsia="楷体" w:hAnsi="Times New Roman" w:cs="Times New Roman"/>
          <w:b/>
          <w:bCs/>
          <w:sz w:val="24"/>
          <w:szCs w:val="24"/>
          <w:lang w:eastAsia="zh-CN"/>
        </w:rPr>
        <w:tab/>
      </w:r>
      <w:bookmarkStart w:id="17" w:name="OLE_LINK5"/>
      <w:r w:rsidRPr="00010327">
        <w:rPr>
          <w:rFonts w:ascii="Times New Roman" w:eastAsia="楷体" w:hAnsi="Times New Roman" w:cs="Times New Roman"/>
          <w:b/>
          <w:bCs/>
          <w:sz w:val="24"/>
          <w:szCs w:val="24"/>
        </w:rPr>
        <w:t>What are the principal laws and regulations applicable to M&amp;A transactions in relation to listed and private companies in your jurisdiction? What are the major issues dealt with in such laws and regulations?</w:t>
      </w:r>
    </w:p>
    <w:bookmarkEnd w:id="17"/>
    <w:p w14:paraId="5FC8B20A" w14:textId="77777777" w:rsidR="001D49B0" w:rsidRDefault="00243CC1">
      <w:pPr>
        <w:numPr>
          <w:ilvl w:val="0"/>
          <w:numId w:val="8"/>
        </w:numPr>
        <w:jc w:val="both"/>
        <w:rPr>
          <w:rFonts w:ascii="Times New Roman" w:eastAsia="楷体" w:hAnsi="Times New Roman" w:cs="Times New Roman"/>
          <w:bCs/>
          <w:sz w:val="24"/>
          <w:szCs w:val="24"/>
        </w:rPr>
      </w:pPr>
      <w:r>
        <w:rPr>
          <w:rFonts w:ascii="Times New Roman" w:eastAsia="楷体" w:hAnsi="Times New Roman" w:cs="Times New Roman"/>
          <w:bCs/>
          <w:sz w:val="24"/>
          <w:szCs w:val="24"/>
        </w:rPr>
        <w:t>The Companies Act is relevant where the target company is incorporated in Singapore. Section 210 specifically deals with schemes of arrangements, Section 215 deals with compulsory acquisition of shares in a takeover (</w:t>
      </w:r>
      <w:bookmarkStart w:id="18" w:name="OLE_LINK102"/>
      <w:bookmarkStart w:id="19" w:name="OLE_LINK103"/>
      <w:r>
        <w:rPr>
          <w:rFonts w:ascii="Times New Roman" w:eastAsia="楷体" w:hAnsi="Times New Roman" w:cs="Times New Roman"/>
          <w:bCs/>
          <w:sz w:val="24"/>
          <w:szCs w:val="24"/>
        </w:rPr>
        <w:t xml:space="preserve">which provides for the </w:t>
      </w:r>
      <w:r>
        <w:rPr>
          <w:rFonts w:ascii="Times New Roman" w:eastAsia="楷体" w:hAnsi="Times New Roman" w:cs="Times New Roman"/>
          <w:bCs/>
          <w:sz w:val="24"/>
          <w:szCs w:val="24"/>
          <w:highlight w:val="white"/>
        </w:rPr>
        <w:t>power to acquire shares of shareholders dissenting from a scheme or contract that is approved by 90% majority</w:t>
      </w:r>
      <w:bookmarkEnd w:id="18"/>
      <w:bookmarkEnd w:id="19"/>
      <w:r>
        <w:rPr>
          <w:rFonts w:ascii="Times New Roman" w:eastAsia="楷体" w:hAnsi="Times New Roman" w:cs="Times New Roman"/>
          <w:bCs/>
          <w:sz w:val="24"/>
          <w:szCs w:val="24"/>
        </w:rPr>
        <w:t>), and Sections 215A to 215J deal with amalgamations.</w:t>
      </w:r>
    </w:p>
    <w:p w14:paraId="31631023" w14:textId="77777777" w:rsidR="001D49B0" w:rsidRDefault="00243CC1">
      <w:pPr>
        <w:numPr>
          <w:ilvl w:val="0"/>
          <w:numId w:val="8"/>
        </w:numPr>
        <w:jc w:val="both"/>
        <w:rPr>
          <w:rFonts w:ascii="Times New Roman" w:eastAsia="楷体" w:hAnsi="Times New Roman" w:cs="Times New Roman"/>
          <w:bCs/>
          <w:sz w:val="24"/>
          <w:szCs w:val="24"/>
        </w:rPr>
      </w:pPr>
      <w:r>
        <w:rPr>
          <w:rFonts w:ascii="Times New Roman" w:eastAsia="楷体" w:hAnsi="Times New Roman" w:cs="Times New Roman"/>
          <w:bCs/>
          <w:sz w:val="24"/>
          <w:szCs w:val="24"/>
        </w:rPr>
        <w:t xml:space="preserve">The Securities and Futures Act contains legislative provisions relating to take-overs, including giving the </w:t>
      </w:r>
      <w:bookmarkStart w:id="20" w:name="OLE_LINK107"/>
      <w:bookmarkStart w:id="21" w:name="OLE_LINK106"/>
      <w:proofErr w:type="spellStart"/>
      <w:r>
        <w:rPr>
          <w:rFonts w:ascii="Times New Roman" w:eastAsia="楷体" w:hAnsi="Times New Roman" w:cs="Times New Roman"/>
          <w:bCs/>
          <w:sz w:val="24"/>
          <w:szCs w:val="24"/>
        </w:rPr>
        <w:t>the</w:t>
      </w:r>
      <w:proofErr w:type="spellEnd"/>
      <w:r>
        <w:rPr>
          <w:rFonts w:ascii="Times New Roman" w:eastAsia="楷体" w:hAnsi="Times New Roman" w:cs="Times New Roman"/>
          <w:bCs/>
          <w:sz w:val="24"/>
          <w:szCs w:val="24"/>
        </w:rPr>
        <w:t xml:space="preserve"> Securities Industry Council </w:t>
      </w:r>
      <w:bookmarkEnd w:id="20"/>
      <w:bookmarkEnd w:id="21"/>
      <w:r>
        <w:rPr>
          <w:rFonts w:ascii="Times New Roman" w:eastAsia="楷体" w:hAnsi="Times New Roman" w:cs="Times New Roman"/>
          <w:bCs/>
          <w:sz w:val="24"/>
          <w:szCs w:val="24"/>
        </w:rPr>
        <w:t>(the “SIC</w:t>
      </w:r>
      <w:proofErr w:type="gramStart"/>
      <w:r>
        <w:rPr>
          <w:rFonts w:ascii="Times New Roman" w:eastAsia="楷体" w:hAnsi="Times New Roman" w:cs="Times New Roman"/>
          <w:bCs/>
          <w:sz w:val="24"/>
          <w:szCs w:val="24"/>
        </w:rPr>
        <w:t>”)  the</w:t>
      </w:r>
      <w:proofErr w:type="gramEnd"/>
      <w:r>
        <w:rPr>
          <w:rFonts w:ascii="Times New Roman" w:eastAsia="楷体" w:hAnsi="Times New Roman" w:cs="Times New Roman"/>
          <w:bCs/>
          <w:sz w:val="24"/>
          <w:szCs w:val="24"/>
        </w:rPr>
        <w:t xml:space="preserve"> power to administer and enforce the Singapore Take-over Code, stipulating the potential offences and dealing with compulsory acquisition in relation to Real Estate Investment Trusts.</w:t>
      </w:r>
    </w:p>
    <w:p w14:paraId="406ED4C6" w14:textId="77777777" w:rsidR="001D49B0" w:rsidRDefault="00243CC1">
      <w:pPr>
        <w:numPr>
          <w:ilvl w:val="0"/>
          <w:numId w:val="8"/>
        </w:numPr>
        <w:jc w:val="both"/>
        <w:rPr>
          <w:rFonts w:ascii="Times New Roman" w:eastAsia="楷体" w:hAnsi="Times New Roman" w:cs="Times New Roman"/>
          <w:bCs/>
          <w:sz w:val="24"/>
          <w:szCs w:val="24"/>
        </w:rPr>
      </w:pPr>
      <w:r>
        <w:rPr>
          <w:rFonts w:ascii="Times New Roman" w:eastAsia="楷体" w:hAnsi="Times New Roman" w:cs="Times New Roman"/>
          <w:bCs/>
          <w:sz w:val="24"/>
          <w:szCs w:val="24"/>
        </w:rPr>
        <w:t>The Business Trusts Act deals with compulsory acquisition in relation to a business trust.</w:t>
      </w:r>
    </w:p>
    <w:p w14:paraId="76E58366" w14:textId="77777777" w:rsidR="001D49B0" w:rsidRDefault="00243CC1">
      <w:pPr>
        <w:numPr>
          <w:ilvl w:val="0"/>
          <w:numId w:val="8"/>
        </w:numPr>
        <w:jc w:val="both"/>
        <w:rPr>
          <w:rFonts w:ascii="Times New Roman" w:eastAsia="楷体" w:hAnsi="Times New Roman" w:cs="Times New Roman"/>
          <w:bCs/>
          <w:sz w:val="24"/>
          <w:szCs w:val="24"/>
        </w:rPr>
      </w:pPr>
      <w:r>
        <w:rPr>
          <w:rFonts w:ascii="Times New Roman" w:eastAsia="楷体" w:hAnsi="Times New Roman" w:cs="Times New Roman"/>
          <w:bCs/>
          <w:sz w:val="24"/>
          <w:szCs w:val="24"/>
        </w:rPr>
        <w:t>The SGX-ST Listing Manual provides for obligations that companies must observe to remain listed on the Singapore Exchange, as well as rules on take-over activities.</w:t>
      </w:r>
    </w:p>
    <w:p w14:paraId="5DEEC73B" w14:textId="77777777" w:rsidR="001D49B0" w:rsidRDefault="00243CC1">
      <w:pPr>
        <w:numPr>
          <w:ilvl w:val="0"/>
          <w:numId w:val="8"/>
        </w:numPr>
        <w:jc w:val="both"/>
        <w:rPr>
          <w:rFonts w:ascii="Times New Roman" w:eastAsia="楷体" w:hAnsi="Times New Roman" w:cs="Times New Roman"/>
          <w:bCs/>
          <w:sz w:val="24"/>
          <w:szCs w:val="24"/>
        </w:rPr>
      </w:pPr>
      <w:r>
        <w:rPr>
          <w:rFonts w:ascii="Times New Roman" w:eastAsia="楷体" w:hAnsi="Times New Roman" w:cs="Times New Roman"/>
          <w:bCs/>
          <w:sz w:val="24"/>
          <w:szCs w:val="24"/>
        </w:rPr>
        <w:t>The Singapore Code on Take-overs and Mergers is a non-statutory set of rules administered by</w:t>
      </w:r>
      <w:bookmarkStart w:id="22" w:name="OLE_LINK104"/>
      <w:bookmarkStart w:id="23" w:name="OLE_LINK105"/>
      <w:r>
        <w:rPr>
          <w:rFonts w:ascii="Times New Roman" w:eastAsia="楷体" w:hAnsi="Times New Roman" w:cs="Times New Roman"/>
          <w:bCs/>
          <w:sz w:val="24"/>
          <w:szCs w:val="24"/>
        </w:rPr>
        <w:t xml:space="preserve"> the Securities Industry Council (the “SIC”) </w:t>
      </w:r>
      <w:bookmarkEnd w:id="22"/>
      <w:bookmarkEnd w:id="23"/>
      <w:r>
        <w:rPr>
          <w:rFonts w:ascii="Times New Roman" w:eastAsia="楷体" w:hAnsi="Times New Roman" w:cs="Times New Roman"/>
          <w:bCs/>
          <w:sz w:val="24"/>
          <w:szCs w:val="24"/>
        </w:rPr>
        <w:lastRenderedPageBreak/>
        <w:t>which applies to all offerors (individual or company, Singapore resident or not) and all acts done or omitted to be done in and outside Singapore. It does not apply to private companies. While the Singapore Take-over Code</w:t>
      </w:r>
      <w:bookmarkStart w:id="24" w:name="_nhdpw9scwlgs" w:colFirst="0" w:colLast="0"/>
      <w:bookmarkEnd w:id="24"/>
      <w:r>
        <w:rPr>
          <w:rFonts w:ascii="Times New Roman" w:eastAsia="楷体" w:hAnsi="Times New Roman" w:cs="Times New Roman"/>
          <w:bCs/>
          <w:sz w:val="24"/>
          <w:szCs w:val="24"/>
        </w:rPr>
        <w:t xml:space="preserve"> does not have the force of law, compliance should be observed seriously or there will be sanctions by the SIC including private reprimand, public censure or in a flagrant case, the SIC may take other or further action against the errant entity as the SIC thinks fit, such as barring the entity from dealing in the Singapore Exchange. For criminal offences under the Companies Act, Securities and Futures Act or any other laws, the SIC would refer the matter to the appropriate authorities and the errant entity (and in many instances, its directors) may face liability and be charged for certain offence(s) under the said laws including being subject on conviction, to fines, penal liability and disqualification penalties. </w:t>
      </w:r>
    </w:p>
    <w:p w14:paraId="2C5E00EB" w14:textId="77777777" w:rsidR="001D49B0" w:rsidRDefault="001D49B0">
      <w:pPr>
        <w:ind w:left="560"/>
        <w:jc w:val="both"/>
        <w:rPr>
          <w:rFonts w:ascii="Times New Roman" w:eastAsia="楷体" w:hAnsi="Times New Roman" w:cs="Times New Roman"/>
          <w:bCs/>
          <w:sz w:val="24"/>
          <w:szCs w:val="24"/>
          <w:lang w:eastAsia="zh-CN"/>
        </w:rPr>
      </w:pPr>
    </w:p>
    <w:p w14:paraId="2D561316" w14:textId="77777777" w:rsidR="001D49B0" w:rsidRPr="00010327" w:rsidRDefault="00243CC1">
      <w:pPr>
        <w:numPr>
          <w:ilvl w:val="1"/>
          <w:numId w:val="7"/>
        </w:numPr>
        <w:ind w:left="560"/>
        <w:jc w:val="both"/>
        <w:rPr>
          <w:rFonts w:ascii="Times New Roman" w:eastAsia="楷体" w:hAnsi="Times New Roman" w:cs="Times New Roman"/>
          <w:b/>
          <w:bCs/>
          <w:sz w:val="24"/>
          <w:szCs w:val="24"/>
        </w:rPr>
      </w:pPr>
      <w:r w:rsidRPr="00010327">
        <w:rPr>
          <w:rFonts w:ascii="Times New Roman" w:eastAsia="楷体" w:hAnsi="Times New Roman" w:cs="Times New Roman"/>
          <w:b/>
          <w:bCs/>
          <w:sz w:val="24"/>
          <w:szCs w:val="24"/>
          <w:lang w:eastAsia="zh-CN"/>
        </w:rPr>
        <w:tab/>
      </w:r>
      <w:proofErr w:type="gramStart"/>
      <w:r w:rsidRPr="00010327">
        <w:rPr>
          <w:rFonts w:ascii="Times New Roman" w:eastAsia="楷体" w:hAnsi="Times New Roman" w:cs="Times New Roman"/>
          <w:b/>
          <w:bCs/>
          <w:sz w:val="24"/>
          <w:szCs w:val="24"/>
        </w:rPr>
        <w:t>Are</w:t>
      </w:r>
      <w:proofErr w:type="gramEnd"/>
      <w:r w:rsidRPr="00010327">
        <w:rPr>
          <w:rFonts w:ascii="Times New Roman" w:eastAsia="楷体" w:hAnsi="Times New Roman" w:cs="Times New Roman"/>
          <w:b/>
          <w:bCs/>
          <w:sz w:val="24"/>
          <w:szCs w:val="24"/>
        </w:rPr>
        <w:t xml:space="preserve"> there any foreign investment review required for foreign buyers in M&amp;A? If so, please give brief details (such as trigger threshold, relevant authority and timing requirements).</w:t>
      </w:r>
    </w:p>
    <w:p w14:paraId="5A26F30E" w14:textId="77777777" w:rsidR="001D49B0" w:rsidRDefault="00243CC1">
      <w:pPr>
        <w:numPr>
          <w:ilvl w:val="0"/>
          <w:numId w:val="9"/>
        </w:numPr>
        <w:jc w:val="both"/>
        <w:rPr>
          <w:rFonts w:ascii="Times New Roman" w:eastAsia="楷体" w:hAnsi="Times New Roman" w:cs="Times New Roman"/>
          <w:bCs/>
          <w:sz w:val="24"/>
          <w:szCs w:val="24"/>
        </w:rPr>
      </w:pPr>
      <w:r>
        <w:rPr>
          <w:rFonts w:ascii="Times New Roman" w:eastAsia="楷体" w:hAnsi="Times New Roman" w:cs="Times New Roman"/>
          <w:bCs/>
          <w:sz w:val="24"/>
          <w:szCs w:val="24"/>
        </w:rPr>
        <w:t>No. Foreign investment is governed by sector-specific laws and regulators</w:t>
      </w:r>
    </w:p>
    <w:p w14:paraId="2347458A" w14:textId="77777777" w:rsidR="001D49B0" w:rsidRDefault="001D49B0">
      <w:pPr>
        <w:ind w:left="560"/>
        <w:jc w:val="both"/>
        <w:rPr>
          <w:rFonts w:ascii="Times New Roman" w:eastAsia="楷体" w:hAnsi="Times New Roman" w:cs="Times New Roman"/>
          <w:bCs/>
          <w:sz w:val="24"/>
          <w:szCs w:val="24"/>
          <w:lang w:eastAsia="zh-CN"/>
        </w:rPr>
      </w:pPr>
    </w:p>
    <w:p w14:paraId="004396BA" w14:textId="77777777" w:rsidR="001D49B0" w:rsidRPr="00010327" w:rsidRDefault="00243CC1">
      <w:pPr>
        <w:numPr>
          <w:ilvl w:val="1"/>
          <w:numId w:val="7"/>
        </w:numPr>
        <w:ind w:left="560"/>
        <w:jc w:val="both"/>
        <w:rPr>
          <w:rFonts w:ascii="Times New Roman" w:eastAsia="楷体" w:hAnsi="Times New Roman" w:cs="Times New Roman"/>
          <w:b/>
          <w:bCs/>
          <w:sz w:val="24"/>
          <w:szCs w:val="24"/>
        </w:rPr>
      </w:pPr>
      <w:r w:rsidRPr="00010327">
        <w:rPr>
          <w:rFonts w:ascii="Times New Roman" w:eastAsia="楷体" w:hAnsi="Times New Roman" w:cs="Times New Roman"/>
          <w:b/>
          <w:bCs/>
          <w:sz w:val="24"/>
          <w:szCs w:val="24"/>
          <w:lang w:eastAsia="zh-CN"/>
        </w:rPr>
        <w:tab/>
      </w:r>
      <w:proofErr w:type="gramStart"/>
      <w:r w:rsidRPr="00010327">
        <w:rPr>
          <w:rFonts w:ascii="Times New Roman" w:eastAsia="楷体" w:hAnsi="Times New Roman" w:cs="Times New Roman"/>
          <w:b/>
          <w:bCs/>
          <w:sz w:val="24"/>
          <w:szCs w:val="24"/>
        </w:rPr>
        <w:t>Are</w:t>
      </w:r>
      <w:proofErr w:type="gramEnd"/>
      <w:r w:rsidRPr="00010327">
        <w:rPr>
          <w:rFonts w:ascii="Times New Roman" w:eastAsia="楷体" w:hAnsi="Times New Roman" w:cs="Times New Roman"/>
          <w:b/>
          <w:bCs/>
          <w:sz w:val="24"/>
          <w:szCs w:val="24"/>
        </w:rPr>
        <w:t xml:space="preserve"> there any merger control required in M&amp;A? If so, please give brief details (such as trigger threshold, relevant authority and timing requirements).</w:t>
      </w:r>
    </w:p>
    <w:p w14:paraId="3BFA1E02" w14:textId="77777777" w:rsidR="001D49B0" w:rsidRDefault="00243CC1">
      <w:pPr>
        <w:numPr>
          <w:ilvl w:val="0"/>
          <w:numId w:val="9"/>
        </w:numPr>
        <w:jc w:val="both"/>
        <w:rPr>
          <w:rFonts w:ascii="Times New Roman" w:eastAsia="楷体" w:hAnsi="Times New Roman" w:cs="Times New Roman"/>
          <w:bCs/>
          <w:sz w:val="24"/>
          <w:szCs w:val="24"/>
        </w:rPr>
      </w:pPr>
      <w:r>
        <w:rPr>
          <w:rFonts w:ascii="Times New Roman" w:eastAsia="楷体" w:hAnsi="Times New Roman" w:cs="Times New Roman"/>
          <w:bCs/>
          <w:sz w:val="24"/>
          <w:szCs w:val="24"/>
        </w:rPr>
        <w:t>The Competition Act and its subsidiary legislation and various related guidelines and practice statements prohibits anti-competitive behaviors.</w:t>
      </w:r>
    </w:p>
    <w:p w14:paraId="055E14AA" w14:textId="77777777" w:rsidR="001D49B0" w:rsidRDefault="00243CC1">
      <w:pPr>
        <w:numPr>
          <w:ilvl w:val="0"/>
          <w:numId w:val="9"/>
        </w:numPr>
        <w:jc w:val="both"/>
        <w:rPr>
          <w:rFonts w:ascii="Times New Roman" w:eastAsia="楷体" w:hAnsi="Times New Roman" w:cs="Times New Roman"/>
          <w:bCs/>
          <w:sz w:val="24"/>
          <w:szCs w:val="24"/>
        </w:rPr>
      </w:pPr>
      <w:bookmarkStart w:id="25" w:name="OLE_LINK6"/>
      <w:r>
        <w:rPr>
          <w:rFonts w:ascii="Times New Roman" w:eastAsia="楷体" w:hAnsi="Times New Roman" w:cs="Times New Roman"/>
          <w:bCs/>
          <w:sz w:val="24"/>
          <w:szCs w:val="24"/>
        </w:rPr>
        <w:t xml:space="preserve">Section 54 of the Competition Act seeks to intervene with mergers that have resulted, or may be expected to result, in a substantial lessening of competition within any market in Singapore for goods and services. </w:t>
      </w:r>
    </w:p>
    <w:bookmarkEnd w:id="25"/>
    <w:p w14:paraId="054B68C5" w14:textId="77777777" w:rsidR="001D49B0" w:rsidRDefault="00243CC1">
      <w:pPr>
        <w:numPr>
          <w:ilvl w:val="0"/>
          <w:numId w:val="9"/>
        </w:numPr>
        <w:jc w:val="both"/>
        <w:rPr>
          <w:rFonts w:ascii="Times New Roman" w:eastAsia="楷体" w:hAnsi="Times New Roman" w:cs="Times New Roman"/>
          <w:bCs/>
          <w:sz w:val="24"/>
          <w:szCs w:val="24"/>
        </w:rPr>
      </w:pPr>
      <w:r>
        <w:rPr>
          <w:rFonts w:ascii="Times New Roman" w:eastAsia="楷体" w:hAnsi="Times New Roman" w:cs="Times New Roman"/>
          <w:bCs/>
          <w:sz w:val="24"/>
          <w:szCs w:val="24"/>
        </w:rPr>
        <w:t>Competition concerns could arise in a merger situation where the merged entity has or will have a market share of 40% or where the post-merger combined market share of the three largest firms is 70% or more.</w:t>
      </w:r>
      <w:r>
        <w:rPr>
          <w:rFonts w:ascii="Times New Roman" w:eastAsia="楷体" w:hAnsi="Times New Roman" w:cs="Times New Roman"/>
          <w:b/>
          <w:bCs/>
          <w:color w:val="FF0000"/>
          <w:sz w:val="24"/>
          <w:szCs w:val="24"/>
        </w:rPr>
        <w:t xml:space="preserve"> </w:t>
      </w:r>
      <w:r>
        <w:rPr>
          <w:rFonts w:ascii="Times New Roman" w:eastAsia="楷体" w:hAnsi="Times New Roman" w:cs="Times New Roman"/>
          <w:bCs/>
          <w:sz w:val="24"/>
          <w:szCs w:val="24"/>
        </w:rPr>
        <w:t xml:space="preserve">Another consideration would be whether the merged entity would affect the competition landscape in the market, such as </w:t>
      </w:r>
      <w:bookmarkStart w:id="26" w:name="OLE_LINK108"/>
      <w:bookmarkStart w:id="27" w:name="OLE_LINK109"/>
      <w:r>
        <w:rPr>
          <w:rFonts w:ascii="Times New Roman" w:eastAsia="楷体" w:hAnsi="Times New Roman" w:cs="Times New Roman"/>
          <w:bCs/>
          <w:sz w:val="24"/>
          <w:szCs w:val="24"/>
        </w:rPr>
        <w:t>giving rise to coordinated behaviors among firms or leading to increased market power such that the merged entity is able to raise prices or reduce output or quality after the merger.</w:t>
      </w:r>
    </w:p>
    <w:bookmarkEnd w:id="26"/>
    <w:bookmarkEnd w:id="27"/>
    <w:p w14:paraId="38FF0B15" w14:textId="77777777" w:rsidR="001D49B0" w:rsidRDefault="00243CC1">
      <w:pPr>
        <w:numPr>
          <w:ilvl w:val="0"/>
          <w:numId w:val="9"/>
        </w:numPr>
        <w:jc w:val="both"/>
        <w:rPr>
          <w:rFonts w:ascii="Times New Roman" w:eastAsia="楷体" w:hAnsi="Times New Roman" w:cs="Times New Roman"/>
          <w:bCs/>
          <w:sz w:val="24"/>
          <w:szCs w:val="24"/>
          <w:lang w:eastAsia="zh-CN"/>
        </w:rPr>
      </w:pPr>
      <w:r>
        <w:rPr>
          <w:rFonts w:ascii="Times New Roman" w:eastAsia="楷体" w:hAnsi="Times New Roman" w:cs="Times New Roman"/>
          <w:bCs/>
          <w:sz w:val="24"/>
          <w:szCs w:val="24"/>
        </w:rPr>
        <w:lastRenderedPageBreak/>
        <w:t xml:space="preserve">A merger clearance filing to the Competition and Consumer Commission of Singapore (“CCCS”) is voluntary but recommended by the CCCS if a merger may potentially result in a substantial lessening of competition in a relevant market. It is advisable for an offeror to conduct a proper self-assessment as to whether the merger would fail within the merger control provision in the Competition Act. </w:t>
      </w:r>
    </w:p>
    <w:p w14:paraId="2B590357" w14:textId="77777777" w:rsidR="001D49B0" w:rsidRDefault="00243CC1">
      <w:pPr>
        <w:numPr>
          <w:ilvl w:val="0"/>
          <w:numId w:val="9"/>
        </w:numPr>
        <w:jc w:val="both"/>
        <w:rPr>
          <w:rFonts w:ascii="Times New Roman" w:eastAsia="楷体" w:hAnsi="Times New Roman" w:cs="Times New Roman"/>
          <w:bCs/>
          <w:sz w:val="24"/>
          <w:szCs w:val="24"/>
        </w:rPr>
      </w:pPr>
      <w:bookmarkStart w:id="28" w:name="OLE_LINK111"/>
      <w:bookmarkStart w:id="29" w:name="OLE_LINK110"/>
      <w:r>
        <w:rPr>
          <w:rFonts w:ascii="Times New Roman" w:eastAsia="楷体" w:hAnsi="Times New Roman" w:cs="Times New Roman"/>
          <w:bCs/>
          <w:sz w:val="24"/>
          <w:szCs w:val="24"/>
        </w:rPr>
        <w:t>There is no statutory period within which the CCCS must conclude its assessment of a notified merger.</w:t>
      </w:r>
      <w:bookmarkEnd w:id="28"/>
      <w:bookmarkEnd w:id="29"/>
      <w:r>
        <w:rPr>
          <w:rFonts w:ascii="Times New Roman" w:eastAsia="楷体" w:hAnsi="Times New Roman" w:cs="Times New Roman"/>
          <w:bCs/>
          <w:sz w:val="24"/>
          <w:szCs w:val="24"/>
        </w:rPr>
        <w:t xml:space="preserve"> However, as set out in the Procedural Guidelines 2012, the first phase of review is expected to be completed within an indicative timeframe of 30 working days. After the first phase, the CCCS will decide whether to issue a </w:t>
      </w:r>
      <w:proofErr w:type="spellStart"/>
      <w:r>
        <w:rPr>
          <w:rFonts w:ascii="Times New Roman" w:eastAsia="楷体" w:hAnsi="Times New Roman" w:cs="Times New Roman"/>
          <w:bCs/>
          <w:sz w:val="24"/>
          <w:szCs w:val="24"/>
        </w:rPr>
        <w:t>favourable</w:t>
      </w:r>
      <w:proofErr w:type="spellEnd"/>
      <w:r>
        <w:rPr>
          <w:rFonts w:ascii="Times New Roman" w:eastAsia="楷体" w:hAnsi="Times New Roman" w:cs="Times New Roman"/>
          <w:bCs/>
          <w:sz w:val="24"/>
          <w:szCs w:val="24"/>
        </w:rPr>
        <w:t xml:space="preserve"> decision to permit the merger situation to proceed or to continue to the second phase of review. The indicative timeframe for the second phase of review to be completed within is 120 working days.</w:t>
      </w:r>
    </w:p>
    <w:p w14:paraId="10E1EADD" w14:textId="77777777" w:rsidR="001D49B0" w:rsidRDefault="001D49B0">
      <w:pPr>
        <w:ind w:left="560"/>
        <w:jc w:val="both"/>
        <w:rPr>
          <w:rFonts w:ascii="Times New Roman" w:eastAsia="楷体" w:hAnsi="Times New Roman" w:cs="Times New Roman"/>
          <w:bCs/>
          <w:sz w:val="24"/>
          <w:szCs w:val="24"/>
          <w:lang w:eastAsia="zh-CN"/>
        </w:rPr>
      </w:pPr>
    </w:p>
    <w:p w14:paraId="45FBD3FC" w14:textId="77777777" w:rsidR="001D49B0" w:rsidRPr="00010327" w:rsidRDefault="00243CC1">
      <w:pPr>
        <w:numPr>
          <w:ilvl w:val="1"/>
          <w:numId w:val="7"/>
        </w:numPr>
        <w:ind w:left="560"/>
        <w:jc w:val="both"/>
        <w:rPr>
          <w:rFonts w:ascii="Times New Roman" w:eastAsia="楷体" w:hAnsi="Times New Roman" w:cs="Times New Roman"/>
          <w:b/>
          <w:bCs/>
          <w:sz w:val="24"/>
          <w:szCs w:val="24"/>
        </w:rPr>
      </w:pPr>
      <w:r w:rsidRPr="00010327">
        <w:rPr>
          <w:rFonts w:ascii="Times New Roman" w:eastAsia="楷体" w:hAnsi="Times New Roman" w:cs="Times New Roman"/>
          <w:b/>
          <w:bCs/>
          <w:sz w:val="24"/>
          <w:szCs w:val="24"/>
          <w:lang w:eastAsia="zh-CN"/>
        </w:rPr>
        <w:tab/>
      </w:r>
      <w:r w:rsidRPr="00010327">
        <w:rPr>
          <w:rFonts w:ascii="Times New Roman" w:eastAsia="楷体" w:hAnsi="Times New Roman" w:cs="Times New Roman"/>
          <w:b/>
          <w:bCs/>
          <w:sz w:val="24"/>
          <w:szCs w:val="24"/>
        </w:rPr>
        <w:t>Are there any other governmental and regulatory approvals required for foreign buyers in M&amp;A? If so, please give brief details (such as trigger threshold, relevant authority and timing requirements)?</w:t>
      </w:r>
    </w:p>
    <w:p w14:paraId="6900511F" w14:textId="77777777" w:rsidR="001D49B0" w:rsidRDefault="00243CC1">
      <w:pPr>
        <w:numPr>
          <w:ilvl w:val="0"/>
          <w:numId w:val="10"/>
        </w:numPr>
        <w:jc w:val="both"/>
        <w:rPr>
          <w:rFonts w:ascii="Times New Roman" w:eastAsia="楷体" w:hAnsi="Times New Roman" w:cs="Times New Roman"/>
          <w:bCs/>
          <w:sz w:val="24"/>
          <w:szCs w:val="24"/>
        </w:rPr>
      </w:pPr>
      <w:r>
        <w:rPr>
          <w:rFonts w:ascii="Times New Roman" w:eastAsia="楷体" w:hAnsi="Times New Roman" w:cs="Times New Roman"/>
          <w:bCs/>
          <w:sz w:val="24"/>
          <w:szCs w:val="24"/>
        </w:rPr>
        <w:t>It depends on sector-specific laws and regulators. Several examples are set out below:</w:t>
      </w:r>
    </w:p>
    <w:p w14:paraId="4C3505A7" w14:textId="77777777" w:rsidR="001D49B0" w:rsidRDefault="00243CC1">
      <w:pPr>
        <w:numPr>
          <w:ilvl w:val="1"/>
          <w:numId w:val="10"/>
        </w:numPr>
        <w:jc w:val="both"/>
        <w:rPr>
          <w:rFonts w:ascii="Times New Roman" w:eastAsia="楷体" w:hAnsi="Times New Roman" w:cs="Times New Roman"/>
          <w:bCs/>
          <w:sz w:val="24"/>
          <w:szCs w:val="24"/>
        </w:rPr>
      </w:pPr>
      <w:r>
        <w:rPr>
          <w:rFonts w:ascii="Times New Roman" w:eastAsia="楷体" w:hAnsi="Times New Roman" w:cs="Times New Roman"/>
          <w:bCs/>
          <w:sz w:val="24"/>
          <w:szCs w:val="24"/>
        </w:rPr>
        <w:t xml:space="preserve">Real Estate - Singapore Land Authority, the Housing and Development Board (HDB) and the </w:t>
      </w:r>
      <w:bookmarkStart w:id="30" w:name="OLE_LINK112"/>
      <w:bookmarkStart w:id="31" w:name="OLE_LINK113"/>
      <w:r>
        <w:rPr>
          <w:rFonts w:ascii="Times New Roman" w:eastAsia="楷体" w:hAnsi="Times New Roman" w:cs="Times New Roman"/>
          <w:bCs/>
          <w:sz w:val="24"/>
          <w:szCs w:val="24"/>
        </w:rPr>
        <w:t>Jurong Town Corporation</w:t>
      </w:r>
      <w:bookmarkEnd w:id="30"/>
      <w:bookmarkEnd w:id="31"/>
      <w:r>
        <w:rPr>
          <w:rFonts w:ascii="Times New Roman" w:eastAsia="楷体" w:hAnsi="Times New Roman" w:cs="Times New Roman"/>
          <w:bCs/>
          <w:sz w:val="24"/>
          <w:szCs w:val="24"/>
        </w:rPr>
        <w:t xml:space="preserve"> (depending on the type of real estate involved).</w:t>
      </w:r>
    </w:p>
    <w:p w14:paraId="2926A705" w14:textId="77777777" w:rsidR="001D49B0" w:rsidRDefault="00243CC1">
      <w:pPr>
        <w:numPr>
          <w:ilvl w:val="1"/>
          <w:numId w:val="10"/>
        </w:numPr>
        <w:jc w:val="both"/>
        <w:rPr>
          <w:rFonts w:ascii="Times New Roman" w:eastAsia="楷体" w:hAnsi="Times New Roman" w:cs="Times New Roman"/>
          <w:bCs/>
          <w:sz w:val="24"/>
          <w:szCs w:val="24"/>
        </w:rPr>
      </w:pPr>
      <w:r>
        <w:rPr>
          <w:rFonts w:ascii="Times New Roman" w:eastAsia="楷体" w:hAnsi="Times New Roman" w:cs="Times New Roman"/>
          <w:bCs/>
          <w:sz w:val="24"/>
          <w:szCs w:val="24"/>
        </w:rPr>
        <w:t>Broadcasting - Info-communications Media Development Authority (IMDA)</w:t>
      </w:r>
    </w:p>
    <w:p w14:paraId="4AE22C01" w14:textId="77777777" w:rsidR="001D49B0" w:rsidRDefault="00243CC1">
      <w:pPr>
        <w:numPr>
          <w:ilvl w:val="1"/>
          <w:numId w:val="10"/>
        </w:numPr>
        <w:jc w:val="both"/>
        <w:rPr>
          <w:rFonts w:ascii="Times New Roman" w:eastAsia="楷体" w:hAnsi="Times New Roman" w:cs="Times New Roman"/>
          <w:bCs/>
          <w:sz w:val="24"/>
          <w:szCs w:val="24"/>
        </w:rPr>
      </w:pPr>
      <w:r>
        <w:rPr>
          <w:rFonts w:ascii="Times New Roman" w:eastAsia="楷体" w:hAnsi="Times New Roman" w:cs="Times New Roman"/>
          <w:bCs/>
          <w:sz w:val="24"/>
          <w:szCs w:val="24"/>
        </w:rPr>
        <w:t>Domestic Media - Info-communications Media Development Authority (IMDA)</w:t>
      </w:r>
    </w:p>
    <w:p w14:paraId="61BEFD40" w14:textId="77777777" w:rsidR="001D49B0" w:rsidRDefault="00243CC1">
      <w:pPr>
        <w:numPr>
          <w:ilvl w:val="1"/>
          <w:numId w:val="10"/>
        </w:numPr>
        <w:jc w:val="both"/>
        <w:rPr>
          <w:rFonts w:ascii="Times New Roman" w:eastAsia="楷体" w:hAnsi="Times New Roman" w:cs="Times New Roman"/>
          <w:bCs/>
          <w:sz w:val="24"/>
          <w:szCs w:val="24"/>
        </w:rPr>
      </w:pPr>
      <w:bookmarkStart w:id="32" w:name="OLE_LINK7"/>
      <w:r>
        <w:rPr>
          <w:rFonts w:ascii="Times New Roman" w:eastAsia="楷体" w:hAnsi="Times New Roman" w:cs="Times New Roman"/>
          <w:bCs/>
          <w:sz w:val="24"/>
          <w:szCs w:val="24"/>
        </w:rPr>
        <w:t>Financial Services and Banking - The Monetary Authority of Singapore (MAS)</w:t>
      </w:r>
    </w:p>
    <w:bookmarkEnd w:id="32"/>
    <w:p w14:paraId="770666C0" w14:textId="77777777" w:rsidR="001D49B0" w:rsidRDefault="00243CC1">
      <w:pPr>
        <w:numPr>
          <w:ilvl w:val="1"/>
          <w:numId w:val="10"/>
        </w:numPr>
        <w:jc w:val="both"/>
        <w:rPr>
          <w:rFonts w:ascii="Times New Roman" w:eastAsia="楷体" w:hAnsi="Times New Roman" w:cs="Times New Roman"/>
          <w:bCs/>
          <w:sz w:val="24"/>
          <w:szCs w:val="24"/>
        </w:rPr>
      </w:pPr>
      <w:r>
        <w:rPr>
          <w:rFonts w:ascii="Times New Roman" w:eastAsia="楷体" w:hAnsi="Times New Roman" w:cs="Times New Roman"/>
          <w:bCs/>
          <w:sz w:val="24"/>
          <w:szCs w:val="24"/>
        </w:rPr>
        <w:t xml:space="preserve">Professional services (e.g., Legal Services Regulatory Authority (LSRA), </w:t>
      </w:r>
      <w:r>
        <w:rPr>
          <w:rFonts w:ascii="Times New Roman" w:eastAsia="楷体" w:hAnsi="Times New Roman" w:cs="Times New Roman"/>
          <w:color w:val="202124"/>
          <w:sz w:val="24"/>
          <w:szCs w:val="24"/>
          <w:shd w:val="clear" w:color="auto" w:fill="FFFFFF"/>
        </w:rPr>
        <w:t>Accounting and Corporate Regulatory Authority</w:t>
      </w:r>
      <w:r>
        <w:rPr>
          <w:rFonts w:ascii="Times New Roman" w:eastAsia="楷体" w:hAnsi="Times New Roman" w:cs="Times New Roman"/>
          <w:bCs/>
          <w:sz w:val="24"/>
          <w:szCs w:val="24"/>
        </w:rPr>
        <w:t>, Board of Architects, Professional Engineers Board)</w:t>
      </w:r>
      <w:r>
        <w:rPr>
          <w:rFonts w:ascii="Times New Roman" w:eastAsia="楷体" w:hAnsi="Times New Roman" w:cs="Times New Roman"/>
          <w:b/>
          <w:bCs/>
          <w:color w:val="FF0000"/>
          <w:sz w:val="24"/>
          <w:szCs w:val="24"/>
        </w:rPr>
        <w:t xml:space="preserve"> </w:t>
      </w:r>
    </w:p>
    <w:p w14:paraId="4BA0C02C" w14:textId="77777777" w:rsidR="001D49B0" w:rsidRDefault="00243CC1">
      <w:pPr>
        <w:jc w:val="both"/>
        <w:rPr>
          <w:rFonts w:ascii="Times New Roman" w:eastAsia="楷体" w:hAnsi="Times New Roman" w:cs="Times New Roman"/>
          <w:bCs/>
          <w:sz w:val="24"/>
          <w:szCs w:val="24"/>
          <w:lang w:eastAsia="zh-CN"/>
        </w:rPr>
      </w:pPr>
      <w:r>
        <w:rPr>
          <w:rFonts w:ascii="Times New Roman" w:eastAsia="楷体" w:hAnsi="Times New Roman" w:cs="Times New Roman"/>
          <w:bCs/>
          <w:sz w:val="24"/>
          <w:szCs w:val="24"/>
          <w:lang w:eastAsia="zh-CN"/>
        </w:rPr>
        <w:t xml:space="preserve"> </w:t>
      </w:r>
    </w:p>
    <w:p w14:paraId="70F92B87" w14:textId="77777777" w:rsidR="001D49B0" w:rsidRPr="00010327" w:rsidRDefault="00243CC1">
      <w:pPr>
        <w:ind w:left="840" w:hanging="420"/>
        <w:jc w:val="both"/>
        <w:rPr>
          <w:rFonts w:ascii="Times New Roman" w:eastAsia="楷体" w:hAnsi="Times New Roman" w:cs="Times New Roman"/>
          <w:b/>
          <w:bCs/>
          <w:sz w:val="24"/>
          <w:szCs w:val="24"/>
          <w:lang w:eastAsia="zh-CN"/>
        </w:rPr>
      </w:pPr>
      <w:r w:rsidRPr="00010327">
        <w:rPr>
          <w:rFonts w:ascii="Times New Roman" w:eastAsia="楷体" w:hAnsi="Times New Roman" w:cs="Times New Roman"/>
          <w:b/>
          <w:bCs/>
          <w:sz w:val="24"/>
          <w:szCs w:val="24"/>
        </w:rPr>
        <w:t xml:space="preserve">3.  </w:t>
      </w:r>
      <w:r w:rsidRPr="00010327">
        <w:rPr>
          <w:rFonts w:ascii="Times New Roman" w:eastAsia="楷体" w:hAnsi="Times New Roman" w:cs="Times New Roman"/>
          <w:b/>
          <w:bCs/>
          <w:sz w:val="24"/>
          <w:szCs w:val="24"/>
        </w:rPr>
        <w:tab/>
        <w:t>M&amp;A in relation to listed company</w:t>
      </w:r>
    </w:p>
    <w:p w14:paraId="2207C831" w14:textId="77777777" w:rsidR="001D49B0" w:rsidRPr="00010327" w:rsidRDefault="00243CC1">
      <w:pPr>
        <w:ind w:left="560"/>
        <w:jc w:val="both"/>
        <w:rPr>
          <w:rFonts w:ascii="Times New Roman" w:eastAsia="楷体" w:hAnsi="Times New Roman" w:cs="Times New Roman"/>
          <w:b/>
          <w:bCs/>
          <w:sz w:val="24"/>
          <w:szCs w:val="24"/>
        </w:rPr>
      </w:pPr>
      <w:r w:rsidRPr="00010327">
        <w:rPr>
          <w:rFonts w:ascii="Times New Roman" w:eastAsia="楷体" w:hAnsi="Times New Roman" w:cs="Times New Roman"/>
          <w:b/>
          <w:bCs/>
          <w:sz w:val="24"/>
          <w:szCs w:val="24"/>
        </w:rPr>
        <w:t xml:space="preserve">3.1. </w:t>
      </w:r>
      <w:r w:rsidRPr="00010327">
        <w:rPr>
          <w:rFonts w:ascii="Times New Roman" w:eastAsia="楷体" w:hAnsi="Times New Roman" w:cs="Times New Roman"/>
          <w:b/>
          <w:bCs/>
          <w:sz w:val="24"/>
          <w:szCs w:val="24"/>
        </w:rPr>
        <w:tab/>
        <w:t>What are the principal methods of acquisition?</w:t>
      </w:r>
    </w:p>
    <w:p w14:paraId="1F97B3E1" w14:textId="77777777" w:rsidR="001D49B0" w:rsidRDefault="00243CC1">
      <w:pPr>
        <w:numPr>
          <w:ilvl w:val="0"/>
          <w:numId w:val="10"/>
        </w:numPr>
        <w:jc w:val="both"/>
        <w:rPr>
          <w:rFonts w:ascii="Times New Roman" w:eastAsia="楷体" w:hAnsi="Times New Roman" w:cs="Times New Roman"/>
          <w:bCs/>
          <w:sz w:val="24"/>
          <w:szCs w:val="24"/>
        </w:rPr>
      </w:pPr>
      <w:r>
        <w:rPr>
          <w:rFonts w:ascii="Times New Roman" w:eastAsia="楷体" w:hAnsi="Times New Roman" w:cs="Times New Roman"/>
          <w:bCs/>
          <w:sz w:val="24"/>
          <w:szCs w:val="24"/>
        </w:rPr>
        <w:t xml:space="preserve">The principal methods of acquisition are acquisition of shares and acquisition of assets. A reverse takeover is the acquisition of a public </w:t>
      </w:r>
      <w:r>
        <w:rPr>
          <w:rFonts w:ascii="Times New Roman" w:eastAsia="楷体" w:hAnsi="Times New Roman" w:cs="Times New Roman"/>
          <w:bCs/>
          <w:sz w:val="24"/>
          <w:szCs w:val="24"/>
        </w:rPr>
        <w:lastRenderedPageBreak/>
        <w:t xml:space="preserve">listed company by a </w:t>
      </w:r>
      <w:bookmarkStart w:id="33" w:name="OLE_LINK32"/>
      <w:r>
        <w:rPr>
          <w:rFonts w:ascii="Times New Roman" w:eastAsia="楷体" w:hAnsi="Times New Roman" w:cs="Times New Roman"/>
          <w:bCs/>
          <w:sz w:val="24"/>
          <w:szCs w:val="24"/>
        </w:rPr>
        <w:t>private company</w:t>
      </w:r>
      <w:bookmarkEnd w:id="33"/>
      <w:r>
        <w:rPr>
          <w:rFonts w:ascii="Times New Roman" w:eastAsia="楷体" w:hAnsi="Times New Roman" w:cs="Times New Roman"/>
          <w:bCs/>
          <w:sz w:val="24"/>
          <w:szCs w:val="24"/>
        </w:rPr>
        <w:t>, so that the private company can become publicly traded without an initial public offering.</w:t>
      </w:r>
    </w:p>
    <w:p w14:paraId="19DC7B6F" w14:textId="77777777" w:rsidR="001D49B0" w:rsidRDefault="001D49B0">
      <w:pPr>
        <w:ind w:left="560"/>
        <w:jc w:val="both"/>
        <w:rPr>
          <w:rFonts w:ascii="Times New Roman" w:eastAsia="楷体" w:hAnsi="Times New Roman" w:cs="Times New Roman"/>
          <w:bCs/>
          <w:sz w:val="24"/>
          <w:szCs w:val="24"/>
          <w:lang w:eastAsia="zh-CN"/>
        </w:rPr>
      </w:pPr>
    </w:p>
    <w:p w14:paraId="3A7809BF" w14:textId="77777777" w:rsidR="001D49B0" w:rsidRPr="00010327" w:rsidRDefault="00243CC1">
      <w:pPr>
        <w:ind w:left="560"/>
        <w:jc w:val="both"/>
        <w:rPr>
          <w:rFonts w:ascii="Times New Roman" w:eastAsia="楷体" w:hAnsi="Times New Roman" w:cs="Times New Roman"/>
          <w:b/>
          <w:bCs/>
          <w:sz w:val="24"/>
          <w:szCs w:val="24"/>
          <w:lang w:eastAsia="zh-CN"/>
        </w:rPr>
      </w:pPr>
      <w:r w:rsidRPr="00010327">
        <w:rPr>
          <w:rFonts w:ascii="Times New Roman" w:eastAsia="楷体" w:hAnsi="Times New Roman" w:cs="Times New Roman"/>
          <w:b/>
          <w:bCs/>
          <w:sz w:val="24"/>
          <w:szCs w:val="24"/>
        </w:rPr>
        <w:t xml:space="preserve">3.2. </w:t>
      </w:r>
      <w:r w:rsidRPr="00010327">
        <w:rPr>
          <w:rFonts w:ascii="Times New Roman" w:eastAsia="楷体" w:hAnsi="Times New Roman" w:cs="Times New Roman"/>
          <w:b/>
          <w:bCs/>
          <w:sz w:val="24"/>
          <w:szCs w:val="24"/>
        </w:rPr>
        <w:tab/>
        <w:t>In what circumstances (if any) is a mandatory bid obligation incurred?</w:t>
      </w:r>
    </w:p>
    <w:p w14:paraId="2A1AB59C" w14:textId="77777777" w:rsidR="001D49B0" w:rsidRDefault="00243CC1">
      <w:pPr>
        <w:numPr>
          <w:ilvl w:val="0"/>
          <w:numId w:val="11"/>
        </w:numPr>
        <w:jc w:val="both"/>
        <w:rPr>
          <w:rFonts w:ascii="Times New Roman" w:eastAsia="楷体" w:hAnsi="Times New Roman" w:cs="Times New Roman"/>
          <w:bCs/>
          <w:sz w:val="24"/>
          <w:szCs w:val="24"/>
        </w:rPr>
      </w:pPr>
      <w:r>
        <w:rPr>
          <w:rFonts w:ascii="Times New Roman" w:eastAsia="楷体" w:hAnsi="Times New Roman" w:cs="Times New Roman"/>
          <w:bCs/>
          <w:sz w:val="24"/>
          <w:szCs w:val="24"/>
        </w:rPr>
        <w:t xml:space="preserve">Under Rule 14 of the Singapore Take-over Code, an offeror must make an offer for all shares of Target Company when certain trigger thresholds stipulated in the Take-over Code are reached. </w:t>
      </w:r>
    </w:p>
    <w:p w14:paraId="5DB5F79D" w14:textId="77777777" w:rsidR="001D49B0" w:rsidRDefault="001D49B0">
      <w:pPr>
        <w:ind w:left="1440"/>
        <w:jc w:val="both"/>
        <w:rPr>
          <w:rFonts w:ascii="Times New Roman" w:eastAsia="楷体" w:hAnsi="Times New Roman" w:cs="Times New Roman"/>
          <w:bCs/>
          <w:sz w:val="24"/>
          <w:szCs w:val="24"/>
          <w:lang w:eastAsia="zh-CN"/>
        </w:rPr>
      </w:pPr>
    </w:p>
    <w:p w14:paraId="28E928FD" w14:textId="77777777" w:rsidR="001D49B0" w:rsidRDefault="00243CC1">
      <w:pPr>
        <w:numPr>
          <w:ilvl w:val="0"/>
          <w:numId w:val="11"/>
        </w:numPr>
        <w:jc w:val="both"/>
        <w:rPr>
          <w:rFonts w:ascii="Times New Roman" w:eastAsia="楷体" w:hAnsi="Times New Roman" w:cs="Times New Roman"/>
          <w:bCs/>
          <w:sz w:val="24"/>
          <w:szCs w:val="24"/>
        </w:rPr>
      </w:pPr>
      <w:r>
        <w:rPr>
          <w:rFonts w:ascii="Times New Roman" w:eastAsia="楷体" w:hAnsi="Times New Roman" w:cs="Times New Roman"/>
          <w:bCs/>
          <w:sz w:val="24"/>
          <w:szCs w:val="24"/>
        </w:rPr>
        <w:t xml:space="preserve">Rule 14.1(a) provides for the first threshold whereby an offeror acquires shares, which taken together with shares held or acquired by persons acting in concert with it (“Concert Parties”), amount to 30% or more of shares carrying voting rights of Target Company. Rule 14.1(b) provides for the second threshold whereby </w:t>
      </w:r>
      <w:bookmarkStart w:id="34" w:name="OLE_LINK71"/>
      <w:bookmarkStart w:id="35" w:name="OLE_LINK72"/>
      <w:bookmarkStart w:id="36" w:name="OLE_LINK73"/>
      <w:r>
        <w:rPr>
          <w:rFonts w:ascii="Times New Roman" w:eastAsia="楷体" w:hAnsi="Times New Roman" w:cs="Times New Roman"/>
          <w:bCs/>
          <w:sz w:val="24"/>
          <w:szCs w:val="24"/>
        </w:rPr>
        <w:t xml:space="preserve">an offeror and Concert Parties hold between 30% and 50% of the target company’s shares carrying voting rights and acquire in aggregate more than 1% of the target company’s shares carrying voting rights in any rolling 6-month period. </w:t>
      </w:r>
    </w:p>
    <w:p w14:paraId="13D63B6B" w14:textId="77777777" w:rsidR="001D49B0" w:rsidRDefault="00243CC1">
      <w:pPr>
        <w:numPr>
          <w:ilvl w:val="0"/>
          <w:numId w:val="11"/>
        </w:numPr>
        <w:jc w:val="both"/>
        <w:rPr>
          <w:rFonts w:ascii="Times New Roman" w:eastAsia="楷体" w:hAnsi="Times New Roman" w:cs="Times New Roman"/>
          <w:bCs/>
          <w:sz w:val="24"/>
          <w:szCs w:val="24"/>
        </w:rPr>
      </w:pPr>
      <w:bookmarkStart w:id="37" w:name="OLE_LINK75"/>
      <w:bookmarkStart w:id="38" w:name="OLE_LINK74"/>
      <w:bookmarkEnd w:id="34"/>
      <w:bookmarkEnd w:id="35"/>
      <w:bookmarkEnd w:id="36"/>
      <w:r>
        <w:rPr>
          <w:rFonts w:ascii="Times New Roman" w:eastAsia="楷体" w:hAnsi="Times New Roman" w:cs="Times New Roman"/>
          <w:bCs/>
          <w:sz w:val="24"/>
          <w:szCs w:val="24"/>
        </w:rPr>
        <w:t xml:space="preserve">Persons acting in concert are parties who have an agreement or understanding to (whether formal or informal) and co-operate, through the acquisition by any of them of shares in a company, to obtain or consolidate effective control of that company. The Take-Over Code provides for certain relationships wherein parties will be presumed to be acting in concert, for example, between close relatives. </w:t>
      </w:r>
    </w:p>
    <w:bookmarkEnd w:id="37"/>
    <w:bookmarkEnd w:id="38"/>
    <w:p w14:paraId="1CB2329E" w14:textId="77777777" w:rsidR="001D49B0" w:rsidRPr="00010327" w:rsidRDefault="001D49B0">
      <w:pPr>
        <w:jc w:val="both"/>
        <w:rPr>
          <w:rFonts w:ascii="Times New Roman" w:eastAsia="楷体" w:hAnsi="Times New Roman" w:cs="Times New Roman"/>
          <w:b/>
          <w:bCs/>
          <w:sz w:val="24"/>
          <w:szCs w:val="24"/>
          <w:lang w:eastAsia="zh-CN"/>
        </w:rPr>
      </w:pPr>
    </w:p>
    <w:p w14:paraId="7B4C9A75" w14:textId="77777777" w:rsidR="001D49B0" w:rsidRPr="00010327" w:rsidRDefault="00243CC1">
      <w:pPr>
        <w:ind w:left="560"/>
        <w:jc w:val="both"/>
        <w:rPr>
          <w:rFonts w:ascii="Times New Roman" w:eastAsia="楷体" w:hAnsi="Times New Roman" w:cs="Times New Roman"/>
          <w:b/>
          <w:bCs/>
          <w:sz w:val="24"/>
          <w:szCs w:val="24"/>
          <w:lang w:eastAsia="zh-CN"/>
        </w:rPr>
      </w:pPr>
      <w:r w:rsidRPr="00010327">
        <w:rPr>
          <w:rFonts w:ascii="Times New Roman" w:eastAsia="楷体" w:hAnsi="Times New Roman" w:cs="Times New Roman"/>
          <w:b/>
          <w:bCs/>
          <w:sz w:val="24"/>
          <w:szCs w:val="24"/>
        </w:rPr>
        <w:t xml:space="preserve">3.3. </w:t>
      </w:r>
      <w:r w:rsidRPr="00010327">
        <w:rPr>
          <w:rFonts w:ascii="Times New Roman" w:eastAsia="楷体" w:hAnsi="Times New Roman" w:cs="Times New Roman"/>
          <w:b/>
          <w:bCs/>
          <w:sz w:val="24"/>
          <w:szCs w:val="24"/>
        </w:rPr>
        <w:tab/>
        <w:t>Is there a minimum price at which the offer must be made?</w:t>
      </w:r>
    </w:p>
    <w:p w14:paraId="44CE6A26" w14:textId="77777777" w:rsidR="001D49B0" w:rsidRDefault="00243CC1">
      <w:pPr>
        <w:numPr>
          <w:ilvl w:val="0"/>
          <w:numId w:val="9"/>
        </w:numPr>
        <w:jc w:val="both"/>
        <w:rPr>
          <w:rFonts w:ascii="Times New Roman" w:eastAsia="楷体" w:hAnsi="Times New Roman" w:cs="Times New Roman"/>
          <w:bCs/>
          <w:sz w:val="24"/>
          <w:szCs w:val="24"/>
        </w:rPr>
      </w:pPr>
      <w:r>
        <w:rPr>
          <w:rFonts w:ascii="Times New Roman" w:eastAsia="楷体" w:hAnsi="Times New Roman" w:cs="Times New Roman"/>
          <w:bCs/>
          <w:sz w:val="24"/>
          <w:szCs w:val="24"/>
        </w:rPr>
        <w:t>​​</w:t>
      </w:r>
      <w:bookmarkStart w:id="39" w:name="OLE_LINK77"/>
      <w:bookmarkStart w:id="40" w:name="OLE_LINK76"/>
      <w:r>
        <w:rPr>
          <w:rFonts w:ascii="Times New Roman" w:eastAsia="楷体" w:hAnsi="Times New Roman" w:cs="Times New Roman"/>
          <w:bCs/>
          <w:sz w:val="24"/>
          <w:szCs w:val="24"/>
        </w:rPr>
        <w:t>Rule 14.3 of the Take-over Code provides that the of</w:t>
      </w:r>
      <w:r>
        <w:rPr>
          <w:rFonts w:ascii="Times New Roman" w:eastAsia="楷体" w:hAnsi="Times New Roman" w:cs="Times New Roman"/>
          <w:bCs/>
          <w:sz w:val="24"/>
          <w:szCs w:val="24"/>
          <w:lang w:eastAsia="zh-CN"/>
        </w:rPr>
        <w:t xml:space="preserve">fer </w:t>
      </w:r>
      <w:r>
        <w:rPr>
          <w:rFonts w:ascii="Times New Roman" w:eastAsia="楷体" w:hAnsi="Times New Roman" w:cs="Times New Roman"/>
          <w:bCs/>
          <w:sz w:val="24"/>
          <w:szCs w:val="24"/>
        </w:rPr>
        <w:t xml:space="preserve">price must be in cash or accompanied by a cash alternative, at not less than the highest price paid by Offeror or any Concert Party for any voting shares during the period of the Offer and in the 6 months leading up to the date of the announcement of the Offer. The minimum offer price determined by, calculating the highest price paid by the offeror and its Concert Parties for voting shares acquired during the offer period. </w:t>
      </w:r>
      <w:bookmarkEnd w:id="39"/>
      <w:bookmarkEnd w:id="40"/>
    </w:p>
    <w:p w14:paraId="3DCB0028" w14:textId="77777777" w:rsidR="001D49B0" w:rsidRDefault="001D49B0">
      <w:pPr>
        <w:ind w:left="1440"/>
        <w:jc w:val="both"/>
        <w:rPr>
          <w:rFonts w:ascii="Times New Roman" w:eastAsia="楷体" w:hAnsi="Times New Roman" w:cs="Times New Roman"/>
          <w:bCs/>
          <w:sz w:val="24"/>
          <w:szCs w:val="24"/>
          <w:lang w:eastAsia="zh-CN"/>
        </w:rPr>
      </w:pPr>
    </w:p>
    <w:p w14:paraId="2FD1DBE5" w14:textId="77777777" w:rsidR="001D49B0" w:rsidRPr="00010327" w:rsidRDefault="00243CC1">
      <w:pPr>
        <w:ind w:left="560"/>
        <w:jc w:val="both"/>
        <w:rPr>
          <w:rFonts w:ascii="Times New Roman" w:eastAsia="楷体" w:hAnsi="Times New Roman" w:cs="Times New Roman"/>
          <w:b/>
          <w:bCs/>
          <w:sz w:val="24"/>
          <w:szCs w:val="24"/>
          <w:lang w:eastAsia="zh-CN"/>
        </w:rPr>
      </w:pPr>
      <w:r w:rsidRPr="00010327">
        <w:rPr>
          <w:rFonts w:ascii="Times New Roman" w:eastAsia="楷体" w:hAnsi="Times New Roman" w:cs="Times New Roman"/>
          <w:b/>
          <w:bCs/>
          <w:sz w:val="24"/>
          <w:szCs w:val="24"/>
        </w:rPr>
        <w:t xml:space="preserve">3.4. </w:t>
      </w:r>
      <w:r w:rsidRPr="00010327">
        <w:rPr>
          <w:rFonts w:ascii="Times New Roman" w:eastAsia="楷体" w:hAnsi="Times New Roman" w:cs="Times New Roman"/>
          <w:b/>
          <w:bCs/>
          <w:sz w:val="24"/>
          <w:szCs w:val="24"/>
        </w:rPr>
        <w:tab/>
        <w:t>How can the function of the board of directors of the target impact a proposed acquisition?</w:t>
      </w:r>
    </w:p>
    <w:p w14:paraId="20EDA01C" w14:textId="77777777" w:rsidR="001D49B0" w:rsidRDefault="00243CC1">
      <w:pPr>
        <w:numPr>
          <w:ilvl w:val="0"/>
          <w:numId w:val="9"/>
        </w:numPr>
        <w:jc w:val="both"/>
        <w:rPr>
          <w:rFonts w:ascii="Times New Roman" w:eastAsia="楷体" w:hAnsi="Times New Roman" w:cs="Times New Roman"/>
          <w:bCs/>
          <w:sz w:val="24"/>
          <w:szCs w:val="24"/>
        </w:rPr>
      </w:pPr>
      <w:bookmarkStart w:id="41" w:name="OLE_LINK78"/>
      <w:bookmarkStart w:id="42" w:name="OLE_LINK79"/>
      <w:r>
        <w:rPr>
          <w:rFonts w:ascii="Times New Roman" w:eastAsia="楷体" w:hAnsi="Times New Roman" w:cs="Times New Roman"/>
          <w:bCs/>
          <w:sz w:val="24"/>
          <w:szCs w:val="24"/>
        </w:rPr>
        <w:t xml:space="preserve">Under common law, a company's directors owe fiduciary duties to the company to act in good faith and in the best interests of the company. The Companies Act also imposes a statutory duty on a director to act honestly and use reasonable diligence in the discharge of the duties of </w:t>
      </w:r>
      <w:r>
        <w:rPr>
          <w:rFonts w:ascii="Times New Roman" w:eastAsia="楷体" w:hAnsi="Times New Roman" w:cs="Times New Roman"/>
          <w:bCs/>
          <w:sz w:val="24"/>
          <w:szCs w:val="24"/>
        </w:rPr>
        <w:lastRenderedPageBreak/>
        <w:t>his/her office at all times. Directors of a target who agree on its behalf to enter into an agreement with a bidder, where doing so would prevent the target from soliciting or encouraging proposals or enquiries from other potential bidders, must ensure that in doing so, they are acting in good faith in the best interests of the company and its shareholders. If a target's board has reason to believe that a bona fide offer is imminent, the board should not, except pursuant to a binding contract entered into earlier, take any action which could effectively result in any bona fide offer being frustrated or the target's shareholders being denied an opportunity to decide on its merits, without shareholders' approval.</w:t>
      </w:r>
    </w:p>
    <w:bookmarkEnd w:id="41"/>
    <w:bookmarkEnd w:id="42"/>
    <w:p w14:paraId="57240353" w14:textId="77777777" w:rsidR="001D49B0" w:rsidRDefault="001D49B0">
      <w:pPr>
        <w:ind w:left="560"/>
        <w:jc w:val="both"/>
        <w:rPr>
          <w:rFonts w:ascii="Times New Roman" w:eastAsia="楷体" w:hAnsi="Times New Roman" w:cs="Times New Roman"/>
          <w:bCs/>
          <w:sz w:val="24"/>
          <w:szCs w:val="24"/>
          <w:lang w:eastAsia="zh-CN"/>
        </w:rPr>
      </w:pPr>
    </w:p>
    <w:p w14:paraId="1BA066FD" w14:textId="77777777" w:rsidR="001D49B0" w:rsidRPr="00010327" w:rsidRDefault="00243CC1">
      <w:pPr>
        <w:ind w:left="560"/>
        <w:jc w:val="both"/>
        <w:rPr>
          <w:rFonts w:ascii="Times New Roman" w:eastAsia="楷体" w:hAnsi="Times New Roman" w:cs="Times New Roman"/>
          <w:b/>
          <w:bCs/>
          <w:sz w:val="24"/>
          <w:szCs w:val="24"/>
          <w:lang w:eastAsia="zh-CN"/>
        </w:rPr>
      </w:pPr>
      <w:r w:rsidRPr="00010327">
        <w:rPr>
          <w:rFonts w:ascii="Times New Roman" w:eastAsia="楷体" w:hAnsi="Times New Roman" w:cs="Times New Roman"/>
          <w:b/>
          <w:bCs/>
          <w:sz w:val="24"/>
          <w:szCs w:val="24"/>
        </w:rPr>
        <w:t xml:space="preserve">3.5. </w:t>
      </w:r>
      <w:r w:rsidRPr="00010327">
        <w:rPr>
          <w:rFonts w:ascii="Times New Roman" w:eastAsia="楷体" w:hAnsi="Times New Roman" w:cs="Times New Roman"/>
          <w:b/>
          <w:bCs/>
          <w:sz w:val="24"/>
          <w:szCs w:val="24"/>
        </w:rPr>
        <w:tab/>
        <w:t>What key documentation is needed in the acquisition?</w:t>
      </w:r>
    </w:p>
    <w:p w14:paraId="739BB799" w14:textId="77777777" w:rsidR="001D49B0" w:rsidRDefault="00243CC1">
      <w:pPr>
        <w:numPr>
          <w:ilvl w:val="0"/>
          <w:numId w:val="9"/>
        </w:numPr>
        <w:jc w:val="both"/>
        <w:rPr>
          <w:rFonts w:ascii="Times New Roman" w:eastAsia="楷体" w:hAnsi="Times New Roman" w:cs="Times New Roman"/>
          <w:bCs/>
          <w:sz w:val="24"/>
          <w:szCs w:val="24"/>
        </w:rPr>
      </w:pPr>
      <w:r>
        <w:rPr>
          <w:rFonts w:ascii="Times New Roman" w:eastAsia="楷体" w:hAnsi="Times New Roman" w:cs="Times New Roman"/>
          <w:bCs/>
          <w:sz w:val="24"/>
          <w:szCs w:val="24"/>
        </w:rPr>
        <w:t>The following key documents are involved in share acquisitions:</w:t>
      </w:r>
    </w:p>
    <w:p w14:paraId="37DF518F" w14:textId="77777777" w:rsidR="001D49B0" w:rsidRDefault="00243CC1">
      <w:pPr>
        <w:numPr>
          <w:ilvl w:val="1"/>
          <w:numId w:val="9"/>
        </w:numPr>
        <w:jc w:val="both"/>
        <w:rPr>
          <w:rFonts w:ascii="Times New Roman" w:eastAsia="楷体" w:hAnsi="Times New Roman" w:cs="Times New Roman"/>
          <w:bCs/>
          <w:sz w:val="24"/>
          <w:szCs w:val="24"/>
        </w:rPr>
      </w:pPr>
      <w:r>
        <w:rPr>
          <w:rFonts w:ascii="Times New Roman" w:eastAsia="楷体" w:hAnsi="Times New Roman" w:cs="Times New Roman"/>
          <w:bCs/>
          <w:sz w:val="24"/>
          <w:szCs w:val="24"/>
        </w:rPr>
        <w:t>Share purchase agreement typically prepared by the buyer</w:t>
      </w:r>
    </w:p>
    <w:p w14:paraId="0D48A0DC" w14:textId="77777777" w:rsidR="001D49B0" w:rsidRDefault="00243CC1">
      <w:pPr>
        <w:numPr>
          <w:ilvl w:val="1"/>
          <w:numId w:val="9"/>
        </w:numPr>
        <w:jc w:val="both"/>
        <w:rPr>
          <w:rFonts w:ascii="Times New Roman" w:eastAsia="楷体" w:hAnsi="Times New Roman" w:cs="Times New Roman"/>
          <w:bCs/>
          <w:sz w:val="24"/>
          <w:szCs w:val="24"/>
        </w:rPr>
      </w:pPr>
      <w:r>
        <w:rPr>
          <w:rFonts w:ascii="Times New Roman" w:eastAsia="楷体" w:hAnsi="Times New Roman" w:cs="Times New Roman"/>
          <w:bCs/>
          <w:sz w:val="24"/>
          <w:szCs w:val="24"/>
        </w:rPr>
        <w:t>Disclosure letter, prepared by the seller</w:t>
      </w:r>
    </w:p>
    <w:p w14:paraId="364FDD75" w14:textId="77777777" w:rsidR="001D49B0" w:rsidRDefault="00243CC1">
      <w:pPr>
        <w:numPr>
          <w:ilvl w:val="1"/>
          <w:numId w:val="9"/>
        </w:numPr>
        <w:jc w:val="both"/>
        <w:rPr>
          <w:rFonts w:ascii="Times New Roman" w:eastAsia="楷体" w:hAnsi="Times New Roman" w:cs="Times New Roman"/>
          <w:bCs/>
          <w:sz w:val="24"/>
          <w:szCs w:val="24"/>
        </w:rPr>
      </w:pPr>
      <w:r>
        <w:rPr>
          <w:rFonts w:ascii="Times New Roman" w:eastAsia="楷体" w:hAnsi="Times New Roman" w:cs="Times New Roman"/>
          <w:bCs/>
          <w:sz w:val="24"/>
          <w:szCs w:val="24"/>
        </w:rPr>
        <w:t>Share transfer form</w:t>
      </w:r>
    </w:p>
    <w:p w14:paraId="30EF9A8F" w14:textId="77777777" w:rsidR="001D49B0" w:rsidRDefault="00243CC1">
      <w:pPr>
        <w:numPr>
          <w:ilvl w:val="1"/>
          <w:numId w:val="9"/>
        </w:numPr>
        <w:jc w:val="both"/>
        <w:rPr>
          <w:rFonts w:ascii="Times New Roman" w:eastAsia="楷体" w:hAnsi="Times New Roman" w:cs="Times New Roman"/>
          <w:bCs/>
          <w:sz w:val="24"/>
          <w:szCs w:val="24"/>
        </w:rPr>
      </w:pPr>
      <w:r>
        <w:rPr>
          <w:rFonts w:ascii="Times New Roman" w:eastAsia="楷体" w:hAnsi="Times New Roman" w:cs="Times New Roman"/>
          <w:bCs/>
          <w:sz w:val="24"/>
          <w:szCs w:val="24"/>
        </w:rPr>
        <w:t>Resolution of the board of the seller and buyer approving the transaction</w:t>
      </w:r>
    </w:p>
    <w:p w14:paraId="73093D9B" w14:textId="77777777" w:rsidR="001D49B0" w:rsidRDefault="00243CC1">
      <w:pPr>
        <w:numPr>
          <w:ilvl w:val="1"/>
          <w:numId w:val="9"/>
        </w:numPr>
        <w:jc w:val="both"/>
        <w:rPr>
          <w:rFonts w:ascii="Times New Roman" w:eastAsia="楷体" w:hAnsi="Times New Roman" w:cs="Times New Roman"/>
          <w:bCs/>
          <w:sz w:val="24"/>
          <w:szCs w:val="24"/>
        </w:rPr>
      </w:pPr>
      <w:r>
        <w:rPr>
          <w:rFonts w:ascii="Times New Roman" w:eastAsia="楷体" w:hAnsi="Times New Roman" w:cs="Times New Roman"/>
          <w:bCs/>
          <w:sz w:val="24"/>
          <w:szCs w:val="24"/>
        </w:rPr>
        <w:t>Other documents, such as board and/or shareholder resolutions, announcements, stamp duty documents and any ancillary side agreements</w:t>
      </w:r>
    </w:p>
    <w:p w14:paraId="448D6576" w14:textId="77777777" w:rsidR="001D49B0" w:rsidRDefault="001D49B0">
      <w:pPr>
        <w:jc w:val="both"/>
        <w:rPr>
          <w:rFonts w:ascii="Times New Roman" w:eastAsia="楷体" w:hAnsi="Times New Roman" w:cs="Times New Roman"/>
          <w:bCs/>
          <w:sz w:val="24"/>
          <w:szCs w:val="24"/>
          <w:lang w:eastAsia="zh-CN"/>
        </w:rPr>
      </w:pPr>
    </w:p>
    <w:p w14:paraId="7F7A26F8" w14:textId="77777777" w:rsidR="001D49B0" w:rsidRDefault="00243CC1">
      <w:pPr>
        <w:numPr>
          <w:ilvl w:val="0"/>
          <w:numId w:val="9"/>
        </w:numPr>
        <w:jc w:val="both"/>
        <w:rPr>
          <w:rFonts w:ascii="Times New Roman" w:eastAsia="楷体" w:hAnsi="Times New Roman" w:cs="Times New Roman"/>
          <w:bCs/>
          <w:sz w:val="24"/>
          <w:szCs w:val="24"/>
        </w:rPr>
      </w:pPr>
      <w:r>
        <w:rPr>
          <w:rFonts w:ascii="Times New Roman" w:eastAsia="楷体" w:hAnsi="Times New Roman" w:cs="Times New Roman"/>
          <w:bCs/>
          <w:sz w:val="24"/>
          <w:szCs w:val="24"/>
        </w:rPr>
        <w:t>The following key documents are involved in asset acquisitions:</w:t>
      </w:r>
    </w:p>
    <w:p w14:paraId="0C3606C3" w14:textId="77777777" w:rsidR="001D49B0" w:rsidRDefault="00243CC1">
      <w:pPr>
        <w:numPr>
          <w:ilvl w:val="1"/>
          <w:numId w:val="9"/>
        </w:numPr>
        <w:jc w:val="both"/>
        <w:rPr>
          <w:rFonts w:ascii="Times New Roman" w:eastAsia="楷体" w:hAnsi="Times New Roman" w:cs="Times New Roman"/>
          <w:bCs/>
          <w:sz w:val="24"/>
          <w:szCs w:val="24"/>
        </w:rPr>
      </w:pPr>
      <w:r>
        <w:rPr>
          <w:rFonts w:ascii="Times New Roman" w:eastAsia="楷体" w:hAnsi="Times New Roman" w:cs="Times New Roman"/>
          <w:bCs/>
          <w:sz w:val="24"/>
          <w:szCs w:val="24"/>
        </w:rPr>
        <w:t>Asset purchase agreement</w:t>
      </w:r>
    </w:p>
    <w:p w14:paraId="0FAE1453" w14:textId="77777777" w:rsidR="001D49B0" w:rsidRDefault="00243CC1">
      <w:pPr>
        <w:numPr>
          <w:ilvl w:val="1"/>
          <w:numId w:val="9"/>
        </w:numPr>
        <w:jc w:val="both"/>
        <w:rPr>
          <w:rFonts w:ascii="Times New Roman" w:eastAsia="楷体" w:hAnsi="Times New Roman" w:cs="Times New Roman"/>
          <w:bCs/>
          <w:sz w:val="24"/>
          <w:szCs w:val="24"/>
          <w:lang w:eastAsia="zh-CN"/>
        </w:rPr>
      </w:pPr>
      <w:r>
        <w:rPr>
          <w:rFonts w:ascii="Times New Roman" w:eastAsia="楷体" w:hAnsi="Times New Roman" w:cs="Times New Roman"/>
          <w:bCs/>
          <w:sz w:val="24"/>
          <w:szCs w:val="24"/>
        </w:rPr>
        <w:t>Novation or Assignment agreements (if applicable)</w:t>
      </w:r>
    </w:p>
    <w:p w14:paraId="244E7172" w14:textId="77777777" w:rsidR="001D49B0" w:rsidRDefault="001D49B0">
      <w:pPr>
        <w:jc w:val="both"/>
        <w:rPr>
          <w:rFonts w:ascii="Times New Roman" w:eastAsia="楷体" w:hAnsi="Times New Roman" w:cs="Times New Roman"/>
          <w:bCs/>
          <w:sz w:val="24"/>
          <w:szCs w:val="24"/>
          <w:lang w:eastAsia="zh-CN"/>
        </w:rPr>
      </w:pPr>
    </w:p>
    <w:p w14:paraId="7062EC37" w14:textId="77777777" w:rsidR="001D49B0" w:rsidRPr="00010327" w:rsidRDefault="00243CC1">
      <w:pPr>
        <w:ind w:left="560"/>
        <w:jc w:val="both"/>
        <w:rPr>
          <w:rFonts w:ascii="Times New Roman" w:eastAsia="楷体" w:hAnsi="Times New Roman" w:cs="Times New Roman"/>
          <w:b/>
          <w:bCs/>
          <w:sz w:val="24"/>
          <w:szCs w:val="24"/>
        </w:rPr>
      </w:pPr>
      <w:r w:rsidRPr="00010327">
        <w:rPr>
          <w:rFonts w:ascii="Times New Roman" w:eastAsia="楷体" w:hAnsi="Times New Roman" w:cs="Times New Roman"/>
          <w:b/>
          <w:bCs/>
          <w:sz w:val="24"/>
          <w:szCs w:val="24"/>
        </w:rPr>
        <w:t xml:space="preserve">3.6. </w:t>
      </w:r>
      <w:r w:rsidRPr="00010327">
        <w:rPr>
          <w:rFonts w:ascii="Times New Roman" w:eastAsia="楷体" w:hAnsi="Times New Roman" w:cs="Times New Roman"/>
          <w:b/>
          <w:bCs/>
          <w:sz w:val="24"/>
          <w:szCs w:val="24"/>
        </w:rPr>
        <w:tab/>
        <w:t>Do acquisition documents require pre-approval by any regulatory body prior to publication?</w:t>
      </w:r>
    </w:p>
    <w:p w14:paraId="1E0CF6F7" w14:textId="77777777" w:rsidR="001D49B0" w:rsidRDefault="00243CC1">
      <w:pPr>
        <w:numPr>
          <w:ilvl w:val="0"/>
          <w:numId w:val="9"/>
        </w:numPr>
        <w:jc w:val="both"/>
        <w:rPr>
          <w:rFonts w:ascii="Times New Roman" w:eastAsia="楷体" w:hAnsi="Times New Roman" w:cs="Times New Roman"/>
          <w:bCs/>
          <w:sz w:val="24"/>
          <w:szCs w:val="24"/>
          <w:lang w:eastAsia="zh-CN"/>
        </w:rPr>
      </w:pPr>
      <w:r>
        <w:rPr>
          <w:rFonts w:ascii="Times New Roman" w:eastAsia="楷体" w:hAnsi="Times New Roman" w:cs="Times New Roman"/>
          <w:bCs/>
          <w:sz w:val="24"/>
          <w:szCs w:val="24"/>
        </w:rPr>
        <w:t xml:space="preserve">No. </w:t>
      </w:r>
      <w:bookmarkStart w:id="43" w:name="OLE_LINK81"/>
      <w:bookmarkStart w:id="44" w:name="OLE_LINK80"/>
      <w:r>
        <w:rPr>
          <w:rFonts w:ascii="Times New Roman" w:eastAsia="楷体" w:hAnsi="Times New Roman" w:cs="Times New Roman"/>
          <w:bCs/>
          <w:sz w:val="24"/>
          <w:szCs w:val="24"/>
        </w:rPr>
        <w:t xml:space="preserve">Notification of the acquisition is on a voluntary basis. However, it is recommended that the M&amp;A be notified to the Competition and Consumer Commission of Singapore (CCCS) if it is expected to result in a substantial lessening of competition in Singapore. </w:t>
      </w:r>
      <w:bookmarkEnd w:id="43"/>
      <w:bookmarkEnd w:id="44"/>
    </w:p>
    <w:p w14:paraId="726B144E" w14:textId="77777777" w:rsidR="001D49B0" w:rsidRDefault="001D49B0">
      <w:pPr>
        <w:jc w:val="both"/>
        <w:rPr>
          <w:rFonts w:ascii="Times New Roman" w:eastAsia="楷体" w:hAnsi="Times New Roman" w:cs="Times New Roman"/>
          <w:bCs/>
          <w:sz w:val="24"/>
          <w:szCs w:val="24"/>
          <w:lang w:eastAsia="zh-CN"/>
        </w:rPr>
      </w:pPr>
    </w:p>
    <w:p w14:paraId="10F6E57B" w14:textId="77777777" w:rsidR="001D49B0" w:rsidRPr="00010327" w:rsidRDefault="00243CC1">
      <w:pPr>
        <w:ind w:left="840" w:hanging="420"/>
        <w:jc w:val="both"/>
        <w:rPr>
          <w:rFonts w:ascii="Times New Roman" w:eastAsia="楷体" w:hAnsi="Times New Roman" w:cs="Times New Roman"/>
          <w:b/>
          <w:bCs/>
          <w:sz w:val="24"/>
          <w:szCs w:val="24"/>
        </w:rPr>
      </w:pPr>
      <w:r w:rsidRPr="00010327">
        <w:rPr>
          <w:rFonts w:ascii="Times New Roman" w:eastAsia="楷体" w:hAnsi="Times New Roman" w:cs="Times New Roman"/>
          <w:b/>
          <w:bCs/>
          <w:sz w:val="24"/>
          <w:szCs w:val="24"/>
        </w:rPr>
        <w:t xml:space="preserve">4.  </w:t>
      </w:r>
      <w:r w:rsidRPr="00010327">
        <w:rPr>
          <w:rFonts w:ascii="Times New Roman" w:eastAsia="楷体" w:hAnsi="Times New Roman" w:cs="Times New Roman"/>
          <w:b/>
          <w:bCs/>
          <w:sz w:val="24"/>
          <w:szCs w:val="24"/>
        </w:rPr>
        <w:tab/>
        <w:t>M&amp;A in relation to private company</w:t>
      </w:r>
    </w:p>
    <w:p w14:paraId="6ACE5DF2" w14:textId="77777777" w:rsidR="001D49B0" w:rsidRPr="00010327" w:rsidRDefault="00243CC1">
      <w:pPr>
        <w:ind w:left="560"/>
        <w:jc w:val="both"/>
        <w:rPr>
          <w:rFonts w:ascii="Times New Roman" w:eastAsia="楷体" w:hAnsi="Times New Roman" w:cs="Times New Roman"/>
          <w:b/>
          <w:bCs/>
          <w:sz w:val="24"/>
          <w:szCs w:val="24"/>
        </w:rPr>
      </w:pPr>
      <w:r w:rsidRPr="00010327">
        <w:rPr>
          <w:rFonts w:ascii="Times New Roman" w:eastAsia="楷体" w:hAnsi="Times New Roman" w:cs="Times New Roman"/>
          <w:b/>
          <w:bCs/>
          <w:sz w:val="24"/>
          <w:szCs w:val="24"/>
          <w:lang w:eastAsia="zh-CN"/>
        </w:rPr>
        <w:t xml:space="preserve">4.1. </w:t>
      </w:r>
      <w:r w:rsidRPr="00010327">
        <w:rPr>
          <w:rFonts w:ascii="Times New Roman" w:eastAsia="楷体" w:hAnsi="Times New Roman" w:cs="Times New Roman"/>
          <w:b/>
          <w:bCs/>
          <w:sz w:val="24"/>
          <w:szCs w:val="24"/>
          <w:lang w:eastAsia="zh-CN"/>
        </w:rPr>
        <w:tab/>
      </w:r>
      <w:r w:rsidRPr="00010327">
        <w:rPr>
          <w:rFonts w:ascii="Times New Roman" w:eastAsia="楷体" w:hAnsi="Times New Roman" w:cs="Times New Roman"/>
          <w:b/>
          <w:bCs/>
          <w:sz w:val="24"/>
          <w:szCs w:val="24"/>
        </w:rPr>
        <w:t>Are there any special rules in relation to the</w:t>
      </w:r>
      <w:bookmarkStart w:id="45" w:name="OLE_LINK84"/>
      <w:bookmarkStart w:id="46" w:name="OLE_LINK85"/>
      <w:r w:rsidRPr="00010327">
        <w:rPr>
          <w:rFonts w:ascii="Times New Roman" w:eastAsia="楷体" w:hAnsi="Times New Roman" w:cs="Times New Roman"/>
          <w:b/>
          <w:bCs/>
          <w:sz w:val="24"/>
          <w:szCs w:val="24"/>
        </w:rPr>
        <w:t xml:space="preserve"> transferring of a business</w:t>
      </w:r>
      <w:bookmarkEnd w:id="45"/>
      <w:bookmarkEnd w:id="46"/>
      <w:r w:rsidRPr="00010327">
        <w:rPr>
          <w:rFonts w:ascii="Times New Roman" w:eastAsia="楷体" w:hAnsi="Times New Roman" w:cs="Times New Roman"/>
          <w:b/>
          <w:bCs/>
          <w:sz w:val="24"/>
          <w:szCs w:val="24"/>
        </w:rPr>
        <w:t xml:space="preserve"> (compare with the simple share or asset acquisition)?</w:t>
      </w:r>
    </w:p>
    <w:p w14:paraId="09F70AF2" w14:textId="77777777" w:rsidR="001D49B0" w:rsidRDefault="00243CC1">
      <w:pPr>
        <w:numPr>
          <w:ilvl w:val="0"/>
          <w:numId w:val="12"/>
        </w:numPr>
        <w:jc w:val="both"/>
        <w:rPr>
          <w:rFonts w:ascii="Times New Roman" w:eastAsia="楷体" w:hAnsi="Times New Roman" w:cs="Times New Roman"/>
          <w:bCs/>
          <w:sz w:val="24"/>
          <w:szCs w:val="24"/>
        </w:rPr>
      </w:pPr>
      <w:r>
        <w:rPr>
          <w:rFonts w:ascii="Times New Roman" w:eastAsia="楷体" w:hAnsi="Times New Roman" w:cs="Times New Roman"/>
          <w:bCs/>
          <w:sz w:val="24"/>
          <w:szCs w:val="24"/>
        </w:rPr>
        <w:t xml:space="preserve">While some assets can be transferred by simple delivery, others (such as intellectual property and land) must be formally transferred in </w:t>
      </w:r>
      <w:r>
        <w:rPr>
          <w:rFonts w:ascii="Times New Roman" w:eastAsia="楷体" w:hAnsi="Times New Roman" w:cs="Times New Roman"/>
          <w:bCs/>
          <w:sz w:val="24"/>
          <w:szCs w:val="24"/>
        </w:rPr>
        <w:lastRenderedPageBreak/>
        <w:t>accordance with the relevant law and/or regulation and in the case of land and real property, the transfer must also be filed with the relevant authority (viz. the Land Titles Registry) and duly recorded. As all assets and liabilities of a company are acquired in a share purchase,</w:t>
      </w:r>
      <w:bookmarkStart w:id="47" w:name="OLE_LINK87"/>
      <w:bookmarkStart w:id="48" w:name="OLE_LINK86"/>
      <w:r>
        <w:rPr>
          <w:rFonts w:ascii="Times New Roman" w:eastAsia="楷体" w:hAnsi="Times New Roman" w:cs="Times New Roman"/>
          <w:bCs/>
          <w:sz w:val="24"/>
          <w:szCs w:val="24"/>
        </w:rPr>
        <w:t xml:space="preserve"> the legal and the financial due diligence process is often more onerous and appropriate contractual protection through warranties and indemnities in the relevant principal agreement will generally be negotiated and </w:t>
      </w:r>
      <w:proofErr w:type="gramStart"/>
      <w:r>
        <w:rPr>
          <w:rFonts w:ascii="Times New Roman" w:eastAsia="楷体" w:hAnsi="Times New Roman" w:cs="Times New Roman"/>
          <w:bCs/>
          <w:sz w:val="24"/>
          <w:szCs w:val="24"/>
        </w:rPr>
        <w:t>included.</w:t>
      </w:r>
      <w:bookmarkEnd w:id="47"/>
      <w:bookmarkEnd w:id="48"/>
      <w:r>
        <w:rPr>
          <w:rFonts w:ascii="Times New Roman" w:eastAsia="楷体" w:hAnsi="Times New Roman" w:cs="Times New Roman"/>
          <w:bCs/>
          <w:sz w:val="24"/>
          <w:szCs w:val="24"/>
          <w:lang w:val="en-US" w:eastAsia="zh-CN"/>
        </w:rPr>
        <w:t>s</w:t>
      </w:r>
      <w:proofErr w:type="gramEnd"/>
    </w:p>
    <w:p w14:paraId="656BAD78" w14:textId="77777777" w:rsidR="001D49B0" w:rsidRDefault="001D49B0">
      <w:pPr>
        <w:ind w:left="1440"/>
        <w:jc w:val="both"/>
        <w:rPr>
          <w:rFonts w:ascii="Times New Roman" w:eastAsia="楷体" w:hAnsi="Times New Roman" w:cs="Times New Roman"/>
          <w:bCs/>
          <w:sz w:val="24"/>
          <w:szCs w:val="24"/>
          <w:lang w:eastAsia="zh-CN"/>
        </w:rPr>
      </w:pPr>
    </w:p>
    <w:p w14:paraId="6EEAC057" w14:textId="77777777" w:rsidR="001D49B0" w:rsidRPr="00010327" w:rsidRDefault="00243CC1">
      <w:pPr>
        <w:ind w:left="560"/>
        <w:jc w:val="both"/>
        <w:rPr>
          <w:rFonts w:ascii="Times New Roman" w:eastAsia="楷体" w:hAnsi="Times New Roman" w:cs="Times New Roman"/>
          <w:b/>
          <w:bCs/>
          <w:sz w:val="24"/>
          <w:szCs w:val="24"/>
        </w:rPr>
      </w:pPr>
      <w:r w:rsidRPr="00010327">
        <w:rPr>
          <w:rFonts w:ascii="Times New Roman" w:eastAsia="楷体" w:hAnsi="Times New Roman" w:cs="Times New Roman"/>
          <w:b/>
          <w:bCs/>
          <w:sz w:val="24"/>
          <w:szCs w:val="24"/>
        </w:rPr>
        <w:t xml:space="preserve">4.2. </w:t>
      </w:r>
      <w:r w:rsidRPr="00010327">
        <w:rPr>
          <w:rFonts w:ascii="Times New Roman" w:eastAsia="楷体" w:hAnsi="Times New Roman" w:cs="Times New Roman"/>
          <w:b/>
          <w:bCs/>
          <w:sz w:val="24"/>
          <w:szCs w:val="24"/>
        </w:rPr>
        <w:tab/>
        <w:t xml:space="preserve">Do labor unit, </w:t>
      </w:r>
      <w:bookmarkStart w:id="49" w:name="OLE_LINK29"/>
      <w:r w:rsidRPr="00010327">
        <w:rPr>
          <w:rFonts w:ascii="Times New Roman" w:eastAsia="楷体" w:hAnsi="Times New Roman" w:cs="Times New Roman"/>
          <w:b/>
          <w:bCs/>
          <w:sz w:val="24"/>
          <w:szCs w:val="24"/>
        </w:rPr>
        <w:t xml:space="preserve">works councils </w:t>
      </w:r>
      <w:bookmarkEnd w:id="49"/>
      <w:r w:rsidRPr="00010327">
        <w:rPr>
          <w:rFonts w:ascii="Times New Roman" w:eastAsia="楷体" w:hAnsi="Times New Roman" w:cs="Times New Roman"/>
          <w:b/>
          <w:bCs/>
          <w:sz w:val="24"/>
          <w:szCs w:val="24"/>
        </w:rPr>
        <w:t>and other stakeholders (other than the vendors of the target) play a role in M&amp;A?</w:t>
      </w:r>
    </w:p>
    <w:p w14:paraId="3EE1AB16" w14:textId="77777777" w:rsidR="001D49B0" w:rsidRDefault="00243CC1">
      <w:pPr>
        <w:numPr>
          <w:ilvl w:val="0"/>
          <w:numId w:val="12"/>
        </w:numPr>
        <w:jc w:val="both"/>
        <w:rPr>
          <w:rFonts w:ascii="Times New Roman" w:eastAsia="楷体" w:hAnsi="Times New Roman" w:cs="Times New Roman"/>
          <w:bCs/>
          <w:sz w:val="24"/>
          <w:szCs w:val="24"/>
        </w:rPr>
      </w:pPr>
      <w:bookmarkStart w:id="50" w:name="OLE_LINK89"/>
      <w:bookmarkStart w:id="51" w:name="OLE_LINK88"/>
      <w:r>
        <w:rPr>
          <w:rFonts w:ascii="Times New Roman" w:eastAsia="楷体" w:hAnsi="Times New Roman" w:cs="Times New Roman"/>
          <w:bCs/>
          <w:sz w:val="24"/>
          <w:szCs w:val="24"/>
        </w:rPr>
        <w:t xml:space="preserve">There is generally no statutory or regulatory requirement for employees to approve of or be consulted on M&amp;A transactions. However, where the target has adopted an </w:t>
      </w:r>
      <w:bookmarkStart w:id="52" w:name="OLE_LINK28"/>
      <w:r>
        <w:rPr>
          <w:rFonts w:ascii="Times New Roman" w:eastAsia="楷体" w:hAnsi="Times New Roman" w:cs="Times New Roman"/>
          <w:bCs/>
          <w:sz w:val="24"/>
          <w:szCs w:val="24"/>
        </w:rPr>
        <w:t xml:space="preserve">employee share option scheme </w:t>
      </w:r>
      <w:bookmarkEnd w:id="52"/>
      <w:r>
        <w:rPr>
          <w:rFonts w:ascii="Times New Roman" w:eastAsia="楷体" w:hAnsi="Times New Roman" w:cs="Times New Roman"/>
          <w:bCs/>
          <w:sz w:val="24"/>
          <w:szCs w:val="24"/>
        </w:rPr>
        <w:t>or where its employees are parties to the shareholders’ agreement, there may be further contractual considerations and consequent obligations to be complied with.</w:t>
      </w:r>
    </w:p>
    <w:bookmarkEnd w:id="50"/>
    <w:bookmarkEnd w:id="51"/>
    <w:p w14:paraId="726D50F8" w14:textId="77777777" w:rsidR="001D49B0" w:rsidRDefault="001D49B0">
      <w:pPr>
        <w:jc w:val="both"/>
        <w:rPr>
          <w:rFonts w:ascii="Times New Roman" w:eastAsia="楷体" w:hAnsi="Times New Roman" w:cs="Times New Roman"/>
          <w:bCs/>
          <w:sz w:val="24"/>
          <w:szCs w:val="24"/>
          <w:lang w:eastAsia="zh-CN"/>
        </w:rPr>
      </w:pPr>
    </w:p>
    <w:p w14:paraId="66C81C19" w14:textId="77777777" w:rsidR="001D49B0" w:rsidRPr="00010327" w:rsidRDefault="00243CC1">
      <w:pPr>
        <w:ind w:left="560"/>
        <w:jc w:val="both"/>
        <w:rPr>
          <w:rFonts w:ascii="Times New Roman" w:eastAsia="楷体" w:hAnsi="Times New Roman" w:cs="Times New Roman"/>
          <w:b/>
          <w:bCs/>
          <w:sz w:val="24"/>
          <w:szCs w:val="24"/>
        </w:rPr>
      </w:pPr>
      <w:r w:rsidRPr="00010327">
        <w:rPr>
          <w:rFonts w:ascii="Times New Roman" w:eastAsia="楷体" w:hAnsi="Times New Roman" w:cs="Times New Roman"/>
          <w:b/>
          <w:bCs/>
          <w:sz w:val="24"/>
          <w:szCs w:val="24"/>
        </w:rPr>
        <w:t xml:space="preserve">4.3. </w:t>
      </w:r>
      <w:r w:rsidRPr="00010327">
        <w:rPr>
          <w:rFonts w:ascii="Times New Roman" w:eastAsia="楷体" w:hAnsi="Times New Roman" w:cs="Times New Roman"/>
          <w:b/>
          <w:bCs/>
          <w:sz w:val="24"/>
          <w:szCs w:val="24"/>
        </w:rPr>
        <w:tab/>
        <w:t xml:space="preserve">What are the principal </w:t>
      </w:r>
      <w:bookmarkStart w:id="53" w:name="OLE_LINK11"/>
      <w:bookmarkStart w:id="54" w:name="OLE_LINK10"/>
      <w:r w:rsidRPr="00010327">
        <w:rPr>
          <w:rFonts w:ascii="Times New Roman" w:eastAsia="楷体" w:hAnsi="Times New Roman" w:cs="Times New Roman"/>
          <w:b/>
          <w:bCs/>
          <w:sz w:val="24"/>
          <w:szCs w:val="24"/>
        </w:rPr>
        <w:t>minority shareholder</w:t>
      </w:r>
      <w:bookmarkEnd w:id="53"/>
      <w:bookmarkEnd w:id="54"/>
      <w:r w:rsidRPr="00010327">
        <w:rPr>
          <w:rFonts w:ascii="Times New Roman" w:eastAsia="楷体" w:hAnsi="Times New Roman" w:cs="Times New Roman"/>
          <w:b/>
          <w:bCs/>
          <w:sz w:val="24"/>
          <w:szCs w:val="24"/>
        </w:rPr>
        <w:t xml:space="preserve"> rights given by law?</w:t>
      </w:r>
    </w:p>
    <w:p w14:paraId="25EADB67" w14:textId="77777777" w:rsidR="001D49B0" w:rsidRDefault="00243CC1">
      <w:pPr>
        <w:numPr>
          <w:ilvl w:val="0"/>
          <w:numId w:val="13"/>
        </w:numPr>
        <w:jc w:val="both"/>
        <w:rPr>
          <w:rFonts w:ascii="Times New Roman" w:eastAsia="楷体" w:hAnsi="Times New Roman" w:cs="Times New Roman"/>
          <w:bCs/>
          <w:sz w:val="24"/>
          <w:szCs w:val="24"/>
          <w:highlight w:val="white"/>
          <w:lang w:eastAsia="zh-CN"/>
        </w:rPr>
      </w:pPr>
      <w:bookmarkStart w:id="55" w:name="OLE_LINK90"/>
      <w:bookmarkStart w:id="56" w:name="OLE_LINK91"/>
      <w:r>
        <w:rPr>
          <w:rFonts w:ascii="Times New Roman" w:eastAsia="楷体" w:hAnsi="Times New Roman" w:cs="Times New Roman"/>
          <w:bCs/>
          <w:sz w:val="24"/>
          <w:szCs w:val="24"/>
          <w:highlight w:val="white"/>
        </w:rPr>
        <w:t>Special resolutions. If the minority shareholder(s) hold(s) more than 25% of the company’s shares, it has the power to block certain decisions requiring a special resolution or supermajority of 75% shareholder approval pursuant to Section 184(1) of the Companies Act.</w:t>
      </w:r>
      <w:bookmarkEnd w:id="55"/>
      <w:bookmarkEnd w:id="56"/>
    </w:p>
    <w:p w14:paraId="3DEFBC9C" w14:textId="77777777" w:rsidR="001D49B0" w:rsidRDefault="00243CC1">
      <w:pPr>
        <w:numPr>
          <w:ilvl w:val="0"/>
          <w:numId w:val="13"/>
        </w:numPr>
        <w:jc w:val="both"/>
        <w:rPr>
          <w:rFonts w:ascii="Times New Roman" w:eastAsia="楷体" w:hAnsi="Times New Roman" w:cs="Times New Roman"/>
          <w:bCs/>
          <w:sz w:val="24"/>
          <w:szCs w:val="24"/>
          <w:highlight w:val="white"/>
        </w:rPr>
      </w:pPr>
      <w:bookmarkStart w:id="57" w:name="OLE_LINK93"/>
      <w:bookmarkStart w:id="58" w:name="OLE_LINK92"/>
      <w:r>
        <w:rPr>
          <w:rFonts w:ascii="Times New Roman" w:eastAsia="楷体" w:hAnsi="Times New Roman" w:cs="Times New Roman"/>
          <w:bCs/>
          <w:sz w:val="24"/>
          <w:szCs w:val="24"/>
          <w:highlight w:val="white"/>
        </w:rPr>
        <w:t>Right to call for meeting. Under Section 176(1) of the Companies Act, upon the request of members holding at least 10% shareholding in the company, the directors of a company shall immediately proceed duly to convene an extraordinary general meeting within 2 months of receiving the request. Under Section 177(1) of the Companies Act, two or more members holding at least 10% shareholder may call a meeting of the company.</w:t>
      </w:r>
    </w:p>
    <w:p w14:paraId="31237D5F" w14:textId="77777777" w:rsidR="001D49B0" w:rsidRDefault="00243CC1">
      <w:pPr>
        <w:numPr>
          <w:ilvl w:val="0"/>
          <w:numId w:val="13"/>
        </w:numPr>
        <w:jc w:val="both"/>
        <w:rPr>
          <w:rFonts w:ascii="Times New Roman" w:eastAsia="楷体" w:hAnsi="Times New Roman" w:cs="Times New Roman"/>
          <w:bCs/>
          <w:sz w:val="24"/>
          <w:szCs w:val="24"/>
          <w:highlight w:val="white"/>
        </w:rPr>
      </w:pPr>
      <w:bookmarkStart w:id="59" w:name="OLE_LINK30"/>
      <w:bookmarkStart w:id="60" w:name="OLE_LINK95"/>
      <w:bookmarkStart w:id="61" w:name="OLE_LINK94"/>
      <w:bookmarkEnd w:id="57"/>
      <w:bookmarkEnd w:id="58"/>
      <w:r>
        <w:rPr>
          <w:rFonts w:ascii="Times New Roman" w:eastAsia="楷体" w:hAnsi="Times New Roman" w:cs="Times New Roman"/>
          <w:bCs/>
          <w:sz w:val="24"/>
          <w:szCs w:val="24"/>
          <w:highlight w:val="white"/>
        </w:rPr>
        <w:t>Statutory derivative action</w:t>
      </w:r>
      <w:bookmarkEnd w:id="59"/>
      <w:r>
        <w:rPr>
          <w:rFonts w:ascii="Times New Roman" w:eastAsia="楷体" w:hAnsi="Times New Roman" w:cs="Times New Roman"/>
          <w:bCs/>
          <w:sz w:val="24"/>
          <w:szCs w:val="24"/>
          <w:highlight w:val="white"/>
        </w:rPr>
        <w:t>. Under Section 216 of the Companies Act, the minority shareholder(s) can apply to the court to initiate a statutory derivation action on behalf of the company if the director has breached their duty.</w:t>
      </w:r>
    </w:p>
    <w:p w14:paraId="398D710A" w14:textId="77777777" w:rsidR="001D49B0" w:rsidRDefault="00243CC1">
      <w:pPr>
        <w:numPr>
          <w:ilvl w:val="0"/>
          <w:numId w:val="13"/>
        </w:numPr>
        <w:jc w:val="both"/>
        <w:rPr>
          <w:rFonts w:ascii="Times New Roman" w:eastAsia="楷体" w:hAnsi="Times New Roman" w:cs="Times New Roman"/>
          <w:bCs/>
          <w:sz w:val="24"/>
          <w:szCs w:val="24"/>
          <w:highlight w:val="white"/>
        </w:rPr>
      </w:pPr>
      <w:bookmarkStart w:id="62" w:name="OLE_LINK97"/>
      <w:bookmarkStart w:id="63" w:name="OLE_LINK96"/>
      <w:bookmarkEnd w:id="60"/>
      <w:bookmarkEnd w:id="61"/>
      <w:r>
        <w:rPr>
          <w:rFonts w:ascii="Times New Roman" w:eastAsia="楷体" w:hAnsi="Times New Roman" w:cs="Times New Roman"/>
          <w:bCs/>
          <w:sz w:val="24"/>
          <w:szCs w:val="24"/>
          <w:highlight w:val="white"/>
        </w:rPr>
        <w:t xml:space="preserve">Oppression remedy. Under Section 216A of the Companies Act, the minority shareholder(s) can apply to the court to seek remedy for unfair prejudicial conduct by the majority. The primary element of oppressive </w:t>
      </w:r>
      <w:r>
        <w:rPr>
          <w:rFonts w:ascii="Times New Roman" w:eastAsia="楷体" w:hAnsi="Times New Roman" w:cs="Times New Roman"/>
          <w:bCs/>
          <w:sz w:val="24"/>
          <w:szCs w:val="24"/>
          <w:highlight w:val="white"/>
        </w:rPr>
        <w:lastRenderedPageBreak/>
        <w:t xml:space="preserve">action under this provision is commercial unfairness and a single </w:t>
      </w:r>
      <w:bookmarkStart w:id="64" w:name="OLE_LINK99"/>
      <w:bookmarkStart w:id="65" w:name="OLE_LINK98"/>
      <w:r>
        <w:rPr>
          <w:rFonts w:ascii="Times New Roman" w:eastAsia="楷体" w:hAnsi="Times New Roman" w:cs="Times New Roman"/>
          <w:bCs/>
          <w:sz w:val="24"/>
          <w:szCs w:val="24"/>
          <w:highlight w:val="white"/>
        </w:rPr>
        <w:t>act is sufficiently constituted oppression if sufficiently serious.</w:t>
      </w:r>
      <w:bookmarkEnd w:id="64"/>
      <w:bookmarkEnd w:id="65"/>
    </w:p>
    <w:p w14:paraId="02366A13" w14:textId="77777777" w:rsidR="001D49B0" w:rsidRDefault="00243CC1">
      <w:pPr>
        <w:numPr>
          <w:ilvl w:val="0"/>
          <w:numId w:val="13"/>
        </w:numPr>
        <w:jc w:val="both"/>
        <w:rPr>
          <w:rFonts w:ascii="Times New Roman" w:eastAsia="楷体" w:hAnsi="Times New Roman" w:cs="Times New Roman"/>
          <w:bCs/>
          <w:sz w:val="24"/>
          <w:szCs w:val="24"/>
          <w:highlight w:val="white"/>
        </w:rPr>
      </w:pPr>
      <w:bookmarkStart w:id="66" w:name="OLE_LINK101"/>
      <w:bookmarkStart w:id="67" w:name="OLE_LINK100"/>
      <w:bookmarkEnd w:id="62"/>
      <w:bookmarkEnd w:id="63"/>
      <w:r>
        <w:rPr>
          <w:rFonts w:ascii="Times New Roman" w:eastAsia="楷体" w:hAnsi="Times New Roman" w:cs="Times New Roman"/>
          <w:bCs/>
          <w:sz w:val="24"/>
          <w:szCs w:val="24"/>
          <w:highlight w:val="white"/>
        </w:rPr>
        <w:t>Right to information. A minority shareholder possesses the statutory right to information such as inspection of minute books under Section 189 of the Companies Act and the ability to seek formal regulatory investigations in certain limited circumstances.</w:t>
      </w:r>
    </w:p>
    <w:bookmarkEnd w:id="66"/>
    <w:bookmarkEnd w:id="67"/>
    <w:p w14:paraId="7C8FFB6B" w14:textId="77777777" w:rsidR="001D49B0" w:rsidRDefault="00243CC1">
      <w:pPr>
        <w:numPr>
          <w:ilvl w:val="0"/>
          <w:numId w:val="13"/>
        </w:numPr>
        <w:jc w:val="both"/>
        <w:rPr>
          <w:rFonts w:ascii="Times New Roman" w:eastAsia="楷体" w:hAnsi="Times New Roman" w:cs="Times New Roman"/>
          <w:sz w:val="24"/>
          <w:szCs w:val="24"/>
          <w:lang w:eastAsia="zh-CN"/>
        </w:rPr>
      </w:pPr>
      <w:r>
        <w:rPr>
          <w:rFonts w:ascii="Times New Roman" w:eastAsia="楷体" w:hAnsi="Times New Roman" w:cs="Times New Roman"/>
          <w:bCs/>
          <w:sz w:val="24"/>
          <w:szCs w:val="24"/>
          <w:highlight w:val="white"/>
        </w:rPr>
        <w:t xml:space="preserve">Right to seek </w:t>
      </w:r>
      <w:bookmarkStart w:id="68" w:name="OLE_LINK31"/>
      <w:r>
        <w:rPr>
          <w:rFonts w:ascii="Times New Roman" w:eastAsia="楷体" w:hAnsi="Times New Roman" w:cs="Times New Roman"/>
          <w:bCs/>
          <w:sz w:val="24"/>
          <w:szCs w:val="24"/>
          <w:highlight w:val="white"/>
        </w:rPr>
        <w:t>winding up of company</w:t>
      </w:r>
      <w:bookmarkEnd w:id="68"/>
      <w:r>
        <w:rPr>
          <w:rFonts w:ascii="Times New Roman" w:eastAsia="楷体" w:hAnsi="Times New Roman" w:cs="Times New Roman"/>
          <w:bCs/>
          <w:sz w:val="24"/>
          <w:szCs w:val="24"/>
          <w:highlight w:val="white"/>
        </w:rPr>
        <w:t>. A minority shareholder has the right to seek the just and equitable winding up of the company pursuant to Section 254(1) of the Companies Act.</w:t>
      </w:r>
    </w:p>
    <w:p w14:paraId="3AAD31A2" w14:textId="77777777" w:rsidR="001D49B0" w:rsidRDefault="001D49B0">
      <w:pPr>
        <w:ind w:left="1080"/>
        <w:jc w:val="both"/>
        <w:rPr>
          <w:rFonts w:ascii="Times New Roman" w:eastAsia="楷体" w:hAnsi="Times New Roman" w:cs="Times New Roman"/>
          <w:sz w:val="24"/>
          <w:szCs w:val="24"/>
          <w:lang w:eastAsia="zh-CN"/>
        </w:rPr>
      </w:pPr>
    </w:p>
    <w:p w14:paraId="2155E4B4" w14:textId="77777777" w:rsidR="001D49B0" w:rsidRDefault="00243CC1">
      <w:pPr>
        <w:widowControl w:val="0"/>
        <w:rPr>
          <w:rFonts w:ascii="Times New Roman" w:eastAsia="楷体" w:hAnsi="Times New Roman" w:cs="Times New Roman"/>
          <w:b/>
          <w:i/>
          <w:iCs/>
          <w:kern w:val="2"/>
          <w:u w:val="single"/>
          <w:lang w:val="en-US" w:eastAsia="zh-CN"/>
        </w:rPr>
      </w:pPr>
      <w:bookmarkStart w:id="69" w:name="_Hlk100158320"/>
      <w:r>
        <w:rPr>
          <w:rFonts w:ascii="Times New Roman" w:eastAsia="楷体" w:hAnsi="Times New Roman" w:cs="Times New Roman"/>
          <w:b/>
          <w:i/>
          <w:iCs/>
          <w:kern w:val="2"/>
          <w:u w:val="single"/>
          <w:lang w:val="en-US" w:eastAsia="zh-CN"/>
        </w:rPr>
        <w:t xml:space="preserve">The series on the investment and M&amp;A laws in the member countries of RCEP is launched by DeHeng Law Offices. </w:t>
      </w:r>
      <w:bookmarkEnd w:id="69"/>
      <w:r>
        <w:rPr>
          <w:rFonts w:ascii="Times New Roman" w:eastAsia="楷体" w:hAnsi="Times New Roman" w:cs="Times New Roman"/>
          <w:b/>
          <w:i/>
          <w:iCs/>
          <w:kern w:val="2"/>
          <w:u w:val="single"/>
          <w:lang w:val="en-US" w:eastAsia="zh-CN"/>
        </w:rPr>
        <w:t xml:space="preserve">In each article of the series, a leading local law firm is invited to offer an overview of investment and M&amp;A laws in the jurisdiction. </w:t>
      </w:r>
    </w:p>
    <w:p w14:paraId="7733807D" w14:textId="77777777" w:rsidR="001D49B0" w:rsidRDefault="001D49B0">
      <w:pPr>
        <w:widowControl w:val="0"/>
        <w:jc w:val="both"/>
        <w:rPr>
          <w:rFonts w:ascii="Times New Roman" w:eastAsia="楷体" w:hAnsi="Times New Roman" w:cs="Times New Roman"/>
          <w:b/>
          <w:kern w:val="2"/>
          <w:lang w:val="en-US" w:eastAsia="zh-CN"/>
        </w:rPr>
      </w:pPr>
    </w:p>
    <w:p w14:paraId="0DD536F8" w14:textId="77777777" w:rsidR="001D49B0" w:rsidRDefault="00243CC1">
      <w:pPr>
        <w:widowControl w:val="0"/>
        <w:rPr>
          <w:rFonts w:ascii="Times New Roman" w:eastAsia="楷体" w:hAnsi="Times New Roman" w:cs="Times New Roman"/>
          <w:b/>
          <w:bCs/>
          <w:i/>
          <w:iCs/>
          <w:kern w:val="2"/>
          <w:u w:val="single"/>
          <w:lang w:val="en-US" w:eastAsia="zh-CN"/>
        </w:rPr>
      </w:pPr>
      <w:r>
        <w:rPr>
          <w:rFonts w:ascii="Times New Roman" w:eastAsia="楷体" w:hAnsi="Times New Roman" w:cs="Times New Roman"/>
          <w:b/>
          <w:bCs/>
          <w:i/>
          <w:iCs/>
          <w:kern w:val="2"/>
          <w:u w:val="single"/>
          <w:lang w:val="en-US" w:eastAsia="zh-CN"/>
        </w:rPr>
        <w:t xml:space="preserve">The above answers are prepared by </w:t>
      </w:r>
    </w:p>
    <w:p w14:paraId="47AA8FCD" w14:textId="77777777" w:rsidR="001D49B0" w:rsidRDefault="00243CC1">
      <w:pPr>
        <w:widowControl w:val="0"/>
        <w:rPr>
          <w:rFonts w:ascii="Times New Roman" w:eastAsia="楷体" w:hAnsi="Times New Roman" w:cs="Times New Roman"/>
          <w:i/>
          <w:iCs/>
          <w:kern w:val="2"/>
          <w:lang w:val="en-US" w:eastAsia="zh-CN"/>
        </w:rPr>
      </w:pPr>
      <w:r>
        <w:rPr>
          <w:rFonts w:ascii="Times New Roman" w:eastAsia="楷体" w:hAnsi="Times New Roman" w:cs="Times New Roman" w:hint="eastAsia"/>
          <w:i/>
          <w:iCs/>
          <w:kern w:val="2"/>
          <w:lang w:val="en-US" w:eastAsia="zh-CN"/>
        </w:rPr>
        <w:t>QUEK Li Fei</w:t>
      </w:r>
    </w:p>
    <w:p w14:paraId="755B7ECA" w14:textId="77777777" w:rsidR="001D49B0" w:rsidRDefault="00243CC1">
      <w:pPr>
        <w:widowControl w:val="0"/>
        <w:rPr>
          <w:rFonts w:ascii="Times New Roman" w:eastAsia="楷体" w:hAnsi="Times New Roman" w:cs="Times New Roman"/>
          <w:i/>
          <w:iCs/>
          <w:kern w:val="2"/>
          <w:lang w:val="en-US" w:eastAsia="zh-CN"/>
        </w:rPr>
      </w:pPr>
      <w:r>
        <w:rPr>
          <w:rFonts w:ascii="Times New Roman" w:eastAsia="楷体" w:hAnsi="Times New Roman" w:cs="Times New Roman" w:hint="eastAsia"/>
          <w:i/>
          <w:iCs/>
          <w:kern w:val="2"/>
          <w:lang w:val="en-US" w:eastAsia="zh-CN"/>
        </w:rPr>
        <w:t>Lorraine Liew</w:t>
      </w:r>
    </w:p>
    <w:p w14:paraId="521C0AFC" w14:textId="77777777" w:rsidR="001D49B0" w:rsidRDefault="00243CC1">
      <w:pPr>
        <w:widowControl w:val="0"/>
        <w:rPr>
          <w:rFonts w:ascii="Times New Roman" w:eastAsia="楷体" w:hAnsi="Times New Roman" w:cs="Times New Roman"/>
          <w:i/>
          <w:iCs/>
          <w:kern w:val="2"/>
          <w:lang w:val="en-US" w:eastAsia="zh-CN"/>
        </w:rPr>
      </w:pPr>
      <w:r>
        <w:rPr>
          <w:rFonts w:ascii="Times New Roman" w:eastAsia="楷体" w:hAnsi="Times New Roman" w:cs="Times New Roman" w:hint="eastAsia"/>
          <w:i/>
          <w:iCs/>
          <w:kern w:val="2"/>
          <w:lang w:val="en-US" w:eastAsia="zh-CN"/>
        </w:rPr>
        <w:t>Victoria Lynn Chin</w:t>
      </w:r>
    </w:p>
    <w:p w14:paraId="424C8DCC" w14:textId="77777777" w:rsidR="001D49B0" w:rsidRDefault="001D49B0">
      <w:pPr>
        <w:widowControl w:val="0"/>
        <w:rPr>
          <w:rFonts w:ascii="Times New Roman" w:eastAsia="楷体" w:hAnsi="Times New Roman" w:cs="Times New Roman"/>
          <w:i/>
          <w:iCs/>
          <w:kern w:val="2"/>
          <w:lang w:val="en-US" w:eastAsia="zh-CN"/>
        </w:rPr>
      </w:pPr>
    </w:p>
    <w:p w14:paraId="0DE8B36A" w14:textId="3E9F92FA" w:rsidR="001D49B0" w:rsidRDefault="00243CC1">
      <w:pPr>
        <w:widowControl w:val="0"/>
        <w:rPr>
          <w:rFonts w:ascii="Times New Roman" w:eastAsia="楷体" w:hAnsi="Times New Roman" w:cs="Times New Roman"/>
          <w:i/>
          <w:iCs/>
          <w:kern w:val="2"/>
          <w:lang w:val="en-US" w:eastAsia="zh-CN"/>
        </w:rPr>
      </w:pPr>
      <w:r>
        <w:rPr>
          <w:rFonts w:ascii="Times New Roman" w:eastAsia="楷体" w:hAnsi="Times New Roman" w:cs="Times New Roman"/>
          <w:i/>
          <w:iCs/>
          <w:kern w:val="2"/>
          <w:lang w:val="en-US" w:eastAsia="zh-CN"/>
        </w:rPr>
        <w:t xml:space="preserve">from </w:t>
      </w:r>
      <w:proofErr w:type="spellStart"/>
      <w:r>
        <w:rPr>
          <w:rFonts w:ascii="Times New Roman" w:eastAsia="楷体" w:hAnsi="Times New Roman" w:cs="Times New Roman" w:hint="eastAsia"/>
          <w:b/>
          <w:bCs/>
          <w:i/>
          <w:iCs/>
          <w:kern w:val="2"/>
          <w:u w:val="single"/>
          <w:lang w:val="en-US" w:eastAsia="zh-CN"/>
        </w:rPr>
        <w:t>CNPLaw</w:t>
      </w:r>
      <w:proofErr w:type="spellEnd"/>
      <w:r>
        <w:rPr>
          <w:rFonts w:ascii="Times New Roman" w:eastAsia="楷体" w:hAnsi="Times New Roman" w:cs="Times New Roman" w:hint="eastAsia"/>
          <w:b/>
          <w:bCs/>
          <w:i/>
          <w:iCs/>
          <w:kern w:val="2"/>
          <w:u w:val="single"/>
          <w:lang w:val="en-US" w:eastAsia="zh-CN"/>
        </w:rPr>
        <w:t xml:space="preserve"> LLP</w:t>
      </w:r>
      <w:r>
        <w:rPr>
          <w:rFonts w:ascii="Times New Roman" w:eastAsia="楷体" w:hAnsi="Times New Roman" w:cs="Times New Roman" w:hint="eastAsia"/>
          <w:i/>
          <w:iCs/>
          <w:kern w:val="2"/>
          <w:lang w:val="en-US" w:eastAsia="zh-CN"/>
        </w:rPr>
        <w:t xml:space="preserve"> </w:t>
      </w:r>
      <w:r>
        <w:rPr>
          <w:rFonts w:ascii="Times New Roman" w:eastAsia="楷体" w:hAnsi="Times New Roman" w:cs="Times New Roman"/>
          <w:i/>
          <w:iCs/>
          <w:kern w:val="2"/>
          <w:lang w:val="en-US" w:eastAsia="zh-CN"/>
        </w:rPr>
        <w:t xml:space="preserve">in </w:t>
      </w:r>
      <w:r>
        <w:rPr>
          <w:rFonts w:ascii="Times New Roman" w:eastAsia="楷体" w:hAnsi="Times New Roman" w:cs="Times New Roman" w:hint="eastAsia"/>
          <w:i/>
          <w:iCs/>
          <w:kern w:val="2"/>
          <w:lang w:val="en-US" w:eastAsia="zh-CN"/>
        </w:rPr>
        <w:t>Singapore</w:t>
      </w:r>
      <w:r>
        <w:rPr>
          <w:rFonts w:ascii="Times New Roman" w:eastAsia="楷体" w:hAnsi="Times New Roman" w:cs="Times New Roman"/>
          <w:i/>
          <w:iCs/>
          <w:kern w:val="2"/>
          <w:lang w:val="en-US" w:eastAsia="zh-CN"/>
        </w:rPr>
        <w:t xml:space="preserve"> by </w:t>
      </w:r>
      <w:r w:rsidR="007E4057">
        <w:rPr>
          <w:rFonts w:ascii="Times New Roman" w:eastAsia="楷体" w:hAnsi="Times New Roman" w:cs="Times New Roman"/>
          <w:i/>
          <w:iCs/>
          <w:kern w:val="2"/>
          <w:lang w:val="en-US" w:eastAsia="zh-CN"/>
        </w:rPr>
        <w:t>June 16</w:t>
      </w:r>
      <w:r w:rsidR="007E4057" w:rsidRPr="00913B93">
        <w:rPr>
          <w:rFonts w:ascii="Times New Roman" w:eastAsia="楷体" w:hAnsi="Times New Roman" w:cs="Times New Roman"/>
          <w:i/>
          <w:iCs/>
          <w:kern w:val="2"/>
          <w:vertAlign w:val="superscript"/>
          <w:lang w:val="en-US" w:eastAsia="zh-CN"/>
        </w:rPr>
        <w:t>th</w:t>
      </w:r>
      <w:r>
        <w:rPr>
          <w:rFonts w:ascii="Times New Roman" w:eastAsia="楷体" w:hAnsi="Times New Roman" w:cs="Times New Roman"/>
          <w:i/>
          <w:iCs/>
        </w:rPr>
        <w:t>,</w:t>
      </w:r>
      <w:r>
        <w:rPr>
          <w:rFonts w:ascii="Times New Roman" w:eastAsia="楷体" w:hAnsi="Times New Roman" w:cs="Times New Roman"/>
          <w:i/>
          <w:iCs/>
          <w:kern w:val="2"/>
          <w:lang w:val="en-US" w:eastAsia="zh-CN"/>
        </w:rPr>
        <w:t xml:space="preserve"> 2022.</w:t>
      </w:r>
    </w:p>
    <w:p w14:paraId="333796FE" w14:textId="77777777" w:rsidR="001D49B0" w:rsidRDefault="001D49B0">
      <w:pPr>
        <w:jc w:val="both"/>
        <w:rPr>
          <w:rFonts w:ascii="Times New Roman" w:eastAsia="楷体" w:hAnsi="Times New Roman" w:cs="Times New Roman"/>
          <w:sz w:val="24"/>
          <w:szCs w:val="24"/>
          <w:lang w:eastAsia="zh-CN"/>
        </w:rPr>
      </w:pPr>
    </w:p>
    <w:sectPr w:rsidR="001D49B0">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A89C3" w14:textId="77777777" w:rsidR="00593E7C" w:rsidRDefault="00593E7C">
      <w:pPr>
        <w:spacing w:line="240" w:lineRule="auto"/>
      </w:pPr>
      <w:r>
        <w:separator/>
      </w:r>
    </w:p>
  </w:endnote>
  <w:endnote w:type="continuationSeparator" w:id="0">
    <w:p w14:paraId="0ADB2C8B" w14:textId="77777777" w:rsidR="00593E7C" w:rsidRDefault="00593E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A7D89" w14:textId="77777777" w:rsidR="001D49B0" w:rsidRDefault="00243CC1">
    <w:pPr>
      <w:widowControl w:val="0"/>
      <w:tabs>
        <w:tab w:val="center" w:pos="4153"/>
        <w:tab w:val="right" w:pos="8306"/>
      </w:tabs>
      <w:snapToGrid w:val="0"/>
      <w:rPr>
        <w:rFonts w:ascii="Calibri" w:eastAsia="宋体" w:hAnsi="Calibri" w:cs="Times New Roman"/>
        <w:kern w:val="2"/>
        <w:sz w:val="18"/>
        <w:szCs w:val="18"/>
        <w:lang w:val="en-US" w:eastAsia="zh-CN"/>
      </w:rPr>
    </w:pPr>
    <w:r>
      <w:rPr>
        <w:rFonts w:ascii="Calibri" w:eastAsia="宋体" w:hAnsi="Calibri" w:cs="Times New Roman"/>
        <w:i/>
        <w:iCs/>
        <w:kern w:val="2"/>
        <w:sz w:val="18"/>
        <w:szCs w:val="18"/>
        <w:lang w:val="en-US" w:eastAsia="zh-CN"/>
      </w:rPr>
      <w:t xml:space="preserve">*Answers are prepared by </w:t>
    </w:r>
    <w:proofErr w:type="spellStart"/>
    <w:r>
      <w:rPr>
        <w:rFonts w:ascii="Calibri" w:eastAsia="宋体" w:hAnsi="Calibri" w:cs="Times New Roman" w:hint="eastAsia"/>
        <w:i/>
        <w:iCs/>
        <w:kern w:val="2"/>
        <w:sz w:val="18"/>
        <w:szCs w:val="18"/>
        <w:lang w:val="en-US" w:eastAsia="zh-CN"/>
      </w:rPr>
      <w:t>CNPLaw</w:t>
    </w:r>
    <w:proofErr w:type="spellEnd"/>
    <w:r>
      <w:rPr>
        <w:rFonts w:ascii="Calibri" w:eastAsia="宋体" w:hAnsi="Calibri" w:cs="Times New Roman" w:hint="eastAsia"/>
        <w:i/>
        <w:iCs/>
        <w:kern w:val="2"/>
        <w:sz w:val="18"/>
        <w:szCs w:val="18"/>
        <w:lang w:val="en-US" w:eastAsia="zh-CN"/>
      </w:rPr>
      <w:t xml:space="preserve"> LLP</w:t>
    </w:r>
  </w:p>
  <w:p w14:paraId="543EE223" w14:textId="77777777" w:rsidR="001D49B0" w:rsidRDefault="001D49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235A" w14:textId="77777777" w:rsidR="00593E7C" w:rsidRDefault="00593E7C">
      <w:r>
        <w:separator/>
      </w:r>
    </w:p>
  </w:footnote>
  <w:footnote w:type="continuationSeparator" w:id="0">
    <w:p w14:paraId="153CD23E" w14:textId="77777777" w:rsidR="00593E7C" w:rsidRDefault="00593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0C60D" w14:textId="77777777" w:rsidR="001D49B0" w:rsidRDefault="00243CC1">
    <w:pPr>
      <w:widowControl w:val="0"/>
      <w:pBdr>
        <w:bottom w:val="single" w:sz="6" w:space="1" w:color="auto"/>
      </w:pBdr>
      <w:tabs>
        <w:tab w:val="center" w:pos="4153"/>
        <w:tab w:val="right" w:pos="8306"/>
      </w:tabs>
      <w:snapToGrid w:val="0"/>
      <w:rPr>
        <w:rFonts w:ascii="Calibri" w:eastAsia="宋体" w:hAnsi="Calibri" w:cs="Times New Roman"/>
        <w:kern w:val="2"/>
        <w:sz w:val="18"/>
        <w:szCs w:val="18"/>
        <w:lang w:val="en-US" w:eastAsia="zh-CN"/>
      </w:rPr>
    </w:pPr>
    <w:r>
      <w:rPr>
        <w:rFonts w:ascii="Calibri" w:eastAsia="宋体" w:hAnsi="Calibri" w:cs="Times New Roman"/>
        <w:noProof/>
        <w:kern w:val="2"/>
        <w:sz w:val="18"/>
        <w:szCs w:val="18"/>
        <w:lang w:val="en-US" w:eastAsia="zh-CN"/>
      </w:rPr>
      <w:drawing>
        <wp:anchor distT="0" distB="0" distL="114300" distR="114300" simplePos="0" relativeHeight="251659264" behindDoc="0" locked="0" layoutInCell="1" allowOverlap="1" wp14:anchorId="63DF7050" wp14:editId="0DE4A5ED">
          <wp:simplePos x="0" y="0"/>
          <wp:positionH relativeFrom="column">
            <wp:posOffset>4975225</wp:posOffset>
          </wp:positionH>
          <wp:positionV relativeFrom="paragraph">
            <wp:posOffset>-6985</wp:posOffset>
          </wp:positionV>
          <wp:extent cx="1209040" cy="285750"/>
          <wp:effectExtent l="0" t="0" r="10160" b="635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85235" cy="303731"/>
                  </a:xfrm>
                  <a:prstGeom prst="rect">
                    <a:avLst/>
                  </a:prstGeom>
                </pic:spPr>
              </pic:pic>
            </a:graphicData>
          </a:graphic>
        </wp:anchor>
      </w:drawing>
    </w:r>
    <w:r>
      <w:rPr>
        <w:rFonts w:ascii="Calibri" w:eastAsia="宋体" w:hAnsi="Calibri" w:cs="Times New Roman" w:hint="eastAsia"/>
        <w:kern w:val="2"/>
        <w:sz w:val="18"/>
        <w:szCs w:val="18"/>
        <w:lang w:val="en-US" w:eastAsia="zh-CN"/>
      </w:rPr>
      <w:t>RCEP</w:t>
    </w:r>
    <w:r>
      <w:rPr>
        <w:rFonts w:ascii="Calibri" w:eastAsia="宋体" w:hAnsi="Calibri" w:cs="Times New Roman" w:hint="eastAsia"/>
        <w:kern w:val="2"/>
        <w:sz w:val="18"/>
        <w:szCs w:val="18"/>
        <w:lang w:val="en-US" w:eastAsia="zh-CN"/>
      </w:rPr>
      <w:t>成员国外商投资及并购法律指引系列专栏</w:t>
    </w:r>
  </w:p>
  <w:p w14:paraId="13BA9600" w14:textId="77777777" w:rsidR="001D49B0" w:rsidRDefault="00243CC1">
    <w:pPr>
      <w:widowControl w:val="0"/>
      <w:pBdr>
        <w:bottom w:val="single" w:sz="6" w:space="1" w:color="auto"/>
      </w:pBdr>
      <w:tabs>
        <w:tab w:val="center" w:pos="4153"/>
        <w:tab w:val="right" w:pos="8306"/>
      </w:tabs>
      <w:snapToGrid w:val="0"/>
      <w:rPr>
        <w:rFonts w:ascii="Calibri" w:eastAsia="宋体" w:hAnsi="Calibri" w:cs="Times New Roman"/>
        <w:kern w:val="2"/>
        <w:sz w:val="18"/>
        <w:szCs w:val="18"/>
        <w:lang w:val="en-US" w:eastAsia="zh-CN"/>
      </w:rPr>
    </w:pPr>
    <w:bookmarkStart w:id="70" w:name="_Hlk98771269"/>
    <w:r>
      <w:rPr>
        <w:rFonts w:ascii="Calibri" w:eastAsia="宋体" w:hAnsi="Calibri" w:cs="Times New Roman"/>
        <w:kern w:val="2"/>
        <w:sz w:val="18"/>
        <w:szCs w:val="18"/>
        <w:lang w:val="en-US" w:eastAsia="zh-CN"/>
      </w:rPr>
      <w:t xml:space="preserve">Series on FDI and M&amp;A Legal Guidelines </w:t>
    </w:r>
    <w:r>
      <w:rPr>
        <w:rFonts w:ascii="Calibri" w:eastAsia="宋体" w:hAnsi="Calibri" w:cs="Times New Roman" w:hint="eastAsia"/>
        <w:kern w:val="2"/>
        <w:sz w:val="18"/>
        <w:szCs w:val="18"/>
        <w:lang w:val="en-US" w:eastAsia="zh-CN"/>
      </w:rPr>
      <w:t>for</w:t>
    </w:r>
    <w:r>
      <w:rPr>
        <w:rFonts w:ascii="Calibri" w:eastAsia="宋体" w:hAnsi="Calibri" w:cs="Times New Roman"/>
        <w:kern w:val="2"/>
        <w:sz w:val="18"/>
        <w:szCs w:val="18"/>
        <w:lang w:val="en-US" w:eastAsia="zh-CN"/>
      </w:rPr>
      <w:t xml:space="preserve"> the Member Countries of RCEP</w:t>
    </w:r>
    <w:bookmarkEnd w:id="70"/>
  </w:p>
  <w:p w14:paraId="78193718" w14:textId="77777777" w:rsidR="001D49B0" w:rsidRDefault="001D49B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3C"/>
    <w:multiLevelType w:val="multilevel"/>
    <w:tmpl w:val="05345A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6DC6746"/>
    <w:multiLevelType w:val="multilevel"/>
    <w:tmpl w:val="06DC67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A5273F8"/>
    <w:multiLevelType w:val="multilevel"/>
    <w:tmpl w:val="1A5273F8"/>
    <w:lvl w:ilvl="0">
      <w:start w:val="1"/>
      <w:numFmt w:val="decimal"/>
      <w:lvlText w:val="%1."/>
      <w:lvlJc w:val="left"/>
      <w:pPr>
        <w:ind w:left="698" w:hanging="698"/>
      </w:pPr>
      <w:rPr>
        <w:rFonts w:hint="default"/>
      </w:rPr>
    </w:lvl>
    <w:lvl w:ilvl="1">
      <w:start w:val="1"/>
      <w:numFmt w:val="decimal"/>
      <w:lvlText w:val="%1.%2."/>
      <w:lvlJc w:val="left"/>
      <w:pPr>
        <w:ind w:left="1258" w:hanging="698"/>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3" w15:restartNumberingAfterBreak="0">
    <w:nsid w:val="214C0D65"/>
    <w:multiLevelType w:val="multilevel"/>
    <w:tmpl w:val="214C0D65"/>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 w15:restartNumberingAfterBreak="0">
    <w:nsid w:val="227E0544"/>
    <w:multiLevelType w:val="multilevel"/>
    <w:tmpl w:val="227E05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EB87A91"/>
    <w:multiLevelType w:val="multilevel"/>
    <w:tmpl w:val="2EB87A91"/>
    <w:lvl w:ilvl="0">
      <w:start w:val="1"/>
      <w:numFmt w:val="bullet"/>
      <w:lvlText w:val="●"/>
      <w:lvlJc w:val="left"/>
      <w:pPr>
        <w:ind w:left="1440" w:hanging="360"/>
      </w:pPr>
      <w:rPr>
        <w:color w:val="auto"/>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5B8189B"/>
    <w:multiLevelType w:val="multilevel"/>
    <w:tmpl w:val="35B8189B"/>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3BFF6E58"/>
    <w:multiLevelType w:val="multilevel"/>
    <w:tmpl w:val="3BFF6E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BEE7212"/>
    <w:multiLevelType w:val="multilevel"/>
    <w:tmpl w:val="5BEE72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6786431B"/>
    <w:multiLevelType w:val="multilevel"/>
    <w:tmpl w:val="6786431B"/>
    <w:lvl w:ilvl="0">
      <w:start w:val="1"/>
      <w:numFmt w:val="bullet"/>
      <w:lvlText w:val="o"/>
      <w:lvlJc w:val="left"/>
      <w:pPr>
        <w:ind w:left="1800" w:hanging="360"/>
      </w:pPr>
      <w:rPr>
        <w:rFonts w:ascii="Courier New" w:hAnsi="Courier New" w:cs="Courier New" w:hint="default"/>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10" w15:restartNumberingAfterBreak="0">
    <w:nsid w:val="67921222"/>
    <w:multiLevelType w:val="multilevel"/>
    <w:tmpl w:val="679212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67BC5ABE"/>
    <w:multiLevelType w:val="multilevel"/>
    <w:tmpl w:val="67BC5A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7D0A48B5"/>
    <w:multiLevelType w:val="multilevel"/>
    <w:tmpl w:val="7D0A48B5"/>
    <w:lvl w:ilvl="0">
      <w:start w:val="1"/>
      <w:numFmt w:val="bullet"/>
      <w:lvlText w:val=""/>
      <w:lvlJc w:val="left"/>
      <w:pPr>
        <w:ind w:left="1500" w:hanging="420"/>
      </w:pPr>
      <w:rPr>
        <w:rFonts w:ascii="Symbol" w:hAnsi="Symbol" w:hint="default"/>
        <w:sz w:val="20"/>
        <w:szCs w:val="2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765269739">
    <w:abstractNumId w:val="2"/>
  </w:num>
  <w:num w:numId="2" w16cid:durableId="2108696473">
    <w:abstractNumId w:val="5"/>
  </w:num>
  <w:num w:numId="3" w16cid:durableId="1314794428">
    <w:abstractNumId w:val="4"/>
  </w:num>
  <w:num w:numId="4" w16cid:durableId="1529685171">
    <w:abstractNumId w:val="3"/>
  </w:num>
  <w:num w:numId="5" w16cid:durableId="84303249">
    <w:abstractNumId w:val="7"/>
  </w:num>
  <w:num w:numId="6" w16cid:durableId="1922449142">
    <w:abstractNumId w:val="9"/>
  </w:num>
  <w:num w:numId="7" w16cid:durableId="1603030201">
    <w:abstractNumId w:val="6"/>
  </w:num>
  <w:num w:numId="8" w16cid:durableId="2019770765">
    <w:abstractNumId w:val="1"/>
  </w:num>
  <w:num w:numId="9" w16cid:durableId="2048528373">
    <w:abstractNumId w:val="0"/>
  </w:num>
  <w:num w:numId="10" w16cid:durableId="270091671">
    <w:abstractNumId w:val="11"/>
  </w:num>
  <w:num w:numId="11" w16cid:durableId="228076971">
    <w:abstractNumId w:val="10"/>
  </w:num>
  <w:num w:numId="12" w16cid:durableId="886648584">
    <w:abstractNumId w:val="8"/>
  </w:num>
  <w:num w:numId="13" w16cid:durableId="471918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ysLA0NjMyMjYwMzVR0lEKTi0uzszPAykwrAUAT2VKeywAAAA="/>
    <w:docVar w:name="commondata" w:val="eyJoZGlkIjoiZDFhNzVlNDg1ODgwZWQ4MjZhNjgxOTY3YTFhMGNhNGUifQ=="/>
  </w:docVars>
  <w:rsids>
    <w:rsidRoot w:val="003E705A"/>
    <w:rsid w:val="00010327"/>
    <w:rsid w:val="00026D1C"/>
    <w:rsid w:val="0002713A"/>
    <w:rsid w:val="0002722C"/>
    <w:rsid w:val="000460A3"/>
    <w:rsid w:val="000505BB"/>
    <w:rsid w:val="00053C26"/>
    <w:rsid w:val="000572AC"/>
    <w:rsid w:val="00060E8E"/>
    <w:rsid w:val="000B4FA5"/>
    <w:rsid w:val="000E406E"/>
    <w:rsid w:val="000F610A"/>
    <w:rsid w:val="001139C3"/>
    <w:rsid w:val="00120644"/>
    <w:rsid w:val="00130307"/>
    <w:rsid w:val="00164C01"/>
    <w:rsid w:val="00167115"/>
    <w:rsid w:val="00181278"/>
    <w:rsid w:val="001A0AC8"/>
    <w:rsid w:val="001A27F8"/>
    <w:rsid w:val="001A6FF4"/>
    <w:rsid w:val="001A75A2"/>
    <w:rsid w:val="001C297B"/>
    <w:rsid w:val="001C77C3"/>
    <w:rsid w:val="001D49B0"/>
    <w:rsid w:val="001E0204"/>
    <w:rsid w:val="001E25C2"/>
    <w:rsid w:val="001E712B"/>
    <w:rsid w:val="001F0BF3"/>
    <w:rsid w:val="00201A22"/>
    <w:rsid w:val="00217655"/>
    <w:rsid w:val="00232BB4"/>
    <w:rsid w:val="00243CC1"/>
    <w:rsid w:val="002513AF"/>
    <w:rsid w:val="00256540"/>
    <w:rsid w:val="00283311"/>
    <w:rsid w:val="002856F5"/>
    <w:rsid w:val="0029384A"/>
    <w:rsid w:val="00295673"/>
    <w:rsid w:val="002B3C25"/>
    <w:rsid w:val="002B4F62"/>
    <w:rsid w:val="002D0608"/>
    <w:rsid w:val="002D1E81"/>
    <w:rsid w:val="002D3A75"/>
    <w:rsid w:val="002D4C48"/>
    <w:rsid w:val="002D6DAB"/>
    <w:rsid w:val="002E040D"/>
    <w:rsid w:val="002E2B7A"/>
    <w:rsid w:val="00305E21"/>
    <w:rsid w:val="0031283E"/>
    <w:rsid w:val="00323E48"/>
    <w:rsid w:val="003278DD"/>
    <w:rsid w:val="0033712A"/>
    <w:rsid w:val="00352D17"/>
    <w:rsid w:val="003612FD"/>
    <w:rsid w:val="003771BF"/>
    <w:rsid w:val="00377B68"/>
    <w:rsid w:val="003A25C5"/>
    <w:rsid w:val="003B7BF6"/>
    <w:rsid w:val="003D0536"/>
    <w:rsid w:val="003E162F"/>
    <w:rsid w:val="003E705A"/>
    <w:rsid w:val="003E7C14"/>
    <w:rsid w:val="00410CA1"/>
    <w:rsid w:val="00413050"/>
    <w:rsid w:val="00415B87"/>
    <w:rsid w:val="00427E67"/>
    <w:rsid w:val="00451992"/>
    <w:rsid w:val="00452A6A"/>
    <w:rsid w:val="004719A7"/>
    <w:rsid w:val="00472368"/>
    <w:rsid w:val="004723F4"/>
    <w:rsid w:val="00476CBA"/>
    <w:rsid w:val="00485435"/>
    <w:rsid w:val="00487407"/>
    <w:rsid w:val="004A0A9C"/>
    <w:rsid w:val="004A7C1C"/>
    <w:rsid w:val="004B3262"/>
    <w:rsid w:val="004C35B0"/>
    <w:rsid w:val="004C5C36"/>
    <w:rsid w:val="004D3BA8"/>
    <w:rsid w:val="004E40C9"/>
    <w:rsid w:val="004E664E"/>
    <w:rsid w:val="00506F8A"/>
    <w:rsid w:val="0050768C"/>
    <w:rsid w:val="00511066"/>
    <w:rsid w:val="005271E6"/>
    <w:rsid w:val="005323D2"/>
    <w:rsid w:val="005620F6"/>
    <w:rsid w:val="00574376"/>
    <w:rsid w:val="00577FA5"/>
    <w:rsid w:val="00593E7C"/>
    <w:rsid w:val="00595F96"/>
    <w:rsid w:val="005B4BB0"/>
    <w:rsid w:val="005D02F2"/>
    <w:rsid w:val="006036A9"/>
    <w:rsid w:val="0061508E"/>
    <w:rsid w:val="006360E3"/>
    <w:rsid w:val="006464C9"/>
    <w:rsid w:val="00654263"/>
    <w:rsid w:val="0067352D"/>
    <w:rsid w:val="006820A3"/>
    <w:rsid w:val="0069066D"/>
    <w:rsid w:val="006917FE"/>
    <w:rsid w:val="00692038"/>
    <w:rsid w:val="0069586D"/>
    <w:rsid w:val="006C47DF"/>
    <w:rsid w:val="006D0D77"/>
    <w:rsid w:val="006E3552"/>
    <w:rsid w:val="007239DA"/>
    <w:rsid w:val="007303F3"/>
    <w:rsid w:val="00733FA8"/>
    <w:rsid w:val="00741487"/>
    <w:rsid w:val="00744AAC"/>
    <w:rsid w:val="00762218"/>
    <w:rsid w:val="007679C1"/>
    <w:rsid w:val="00772166"/>
    <w:rsid w:val="00797AE5"/>
    <w:rsid w:val="007A583B"/>
    <w:rsid w:val="007B3B43"/>
    <w:rsid w:val="007D12C7"/>
    <w:rsid w:val="007D7938"/>
    <w:rsid w:val="007E4057"/>
    <w:rsid w:val="007E4AE3"/>
    <w:rsid w:val="00810C55"/>
    <w:rsid w:val="00817E2C"/>
    <w:rsid w:val="0083759E"/>
    <w:rsid w:val="00852BAE"/>
    <w:rsid w:val="00861523"/>
    <w:rsid w:val="00861986"/>
    <w:rsid w:val="00866882"/>
    <w:rsid w:val="00870022"/>
    <w:rsid w:val="00871153"/>
    <w:rsid w:val="00872F6B"/>
    <w:rsid w:val="00887066"/>
    <w:rsid w:val="008A66B1"/>
    <w:rsid w:val="008B210F"/>
    <w:rsid w:val="008D3F88"/>
    <w:rsid w:val="008E2602"/>
    <w:rsid w:val="008E6279"/>
    <w:rsid w:val="00913B93"/>
    <w:rsid w:val="00914DF7"/>
    <w:rsid w:val="00915AE5"/>
    <w:rsid w:val="00926508"/>
    <w:rsid w:val="00940155"/>
    <w:rsid w:val="00951E6B"/>
    <w:rsid w:val="00954EBF"/>
    <w:rsid w:val="0096480F"/>
    <w:rsid w:val="0098578E"/>
    <w:rsid w:val="009A710B"/>
    <w:rsid w:val="009B5BD3"/>
    <w:rsid w:val="009B6B7A"/>
    <w:rsid w:val="00A235E7"/>
    <w:rsid w:val="00A2565F"/>
    <w:rsid w:val="00A312F0"/>
    <w:rsid w:val="00A414F9"/>
    <w:rsid w:val="00A4485E"/>
    <w:rsid w:val="00A51356"/>
    <w:rsid w:val="00A83171"/>
    <w:rsid w:val="00AB463E"/>
    <w:rsid w:val="00AC7C85"/>
    <w:rsid w:val="00AE04B3"/>
    <w:rsid w:val="00B10F25"/>
    <w:rsid w:val="00B204B2"/>
    <w:rsid w:val="00B21FAC"/>
    <w:rsid w:val="00B33613"/>
    <w:rsid w:val="00B71CF1"/>
    <w:rsid w:val="00BC017F"/>
    <w:rsid w:val="00C10F66"/>
    <w:rsid w:val="00C31F70"/>
    <w:rsid w:val="00C33A44"/>
    <w:rsid w:val="00C34D13"/>
    <w:rsid w:val="00C36B4A"/>
    <w:rsid w:val="00C574FD"/>
    <w:rsid w:val="00C602E6"/>
    <w:rsid w:val="00C6143B"/>
    <w:rsid w:val="00C62BD9"/>
    <w:rsid w:val="00C641F8"/>
    <w:rsid w:val="00C80941"/>
    <w:rsid w:val="00C8149F"/>
    <w:rsid w:val="00C85298"/>
    <w:rsid w:val="00C953A6"/>
    <w:rsid w:val="00CA0579"/>
    <w:rsid w:val="00CA3285"/>
    <w:rsid w:val="00CB2C5E"/>
    <w:rsid w:val="00CB3D86"/>
    <w:rsid w:val="00CC3EEF"/>
    <w:rsid w:val="00CD2212"/>
    <w:rsid w:val="00CD56F0"/>
    <w:rsid w:val="00CF704D"/>
    <w:rsid w:val="00D04F82"/>
    <w:rsid w:val="00D167DA"/>
    <w:rsid w:val="00D22907"/>
    <w:rsid w:val="00D23A54"/>
    <w:rsid w:val="00D2733D"/>
    <w:rsid w:val="00D3031C"/>
    <w:rsid w:val="00D3354C"/>
    <w:rsid w:val="00D34573"/>
    <w:rsid w:val="00D60008"/>
    <w:rsid w:val="00D62220"/>
    <w:rsid w:val="00D7372F"/>
    <w:rsid w:val="00D97343"/>
    <w:rsid w:val="00DA3405"/>
    <w:rsid w:val="00DA56FF"/>
    <w:rsid w:val="00DD6348"/>
    <w:rsid w:val="00DE0164"/>
    <w:rsid w:val="00DE306D"/>
    <w:rsid w:val="00E15F87"/>
    <w:rsid w:val="00E35BBE"/>
    <w:rsid w:val="00E35D36"/>
    <w:rsid w:val="00E35E8D"/>
    <w:rsid w:val="00E36846"/>
    <w:rsid w:val="00E576C9"/>
    <w:rsid w:val="00E726DB"/>
    <w:rsid w:val="00E73497"/>
    <w:rsid w:val="00E853BE"/>
    <w:rsid w:val="00EA685D"/>
    <w:rsid w:val="00EC693A"/>
    <w:rsid w:val="00EE3F40"/>
    <w:rsid w:val="00EF516B"/>
    <w:rsid w:val="00F124CA"/>
    <w:rsid w:val="00F15DE9"/>
    <w:rsid w:val="00F36EEA"/>
    <w:rsid w:val="00F418E6"/>
    <w:rsid w:val="00F431E8"/>
    <w:rsid w:val="00F52081"/>
    <w:rsid w:val="00F6324A"/>
    <w:rsid w:val="00F71924"/>
    <w:rsid w:val="00F97BA9"/>
    <w:rsid w:val="00FA6BB5"/>
    <w:rsid w:val="00FB19D7"/>
    <w:rsid w:val="00FE13BF"/>
    <w:rsid w:val="00FF6176"/>
    <w:rsid w:val="145F04F1"/>
    <w:rsid w:val="194D584A"/>
    <w:rsid w:val="370F76FD"/>
    <w:rsid w:val="3F7D78FA"/>
    <w:rsid w:val="3FEE25A6"/>
    <w:rsid w:val="435D4513"/>
    <w:rsid w:val="4DA644C0"/>
    <w:rsid w:val="506B6E50"/>
    <w:rsid w:val="5A66796B"/>
    <w:rsid w:val="5DEA21A7"/>
    <w:rsid w:val="64A84489"/>
    <w:rsid w:val="69FF6FDA"/>
    <w:rsid w:val="70D214C9"/>
    <w:rsid w:val="74D80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41FA"/>
  <w15:docId w15:val="{0C7D1F78-283A-4C12-A738-C6FB5375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rPr>
      <w:rFonts w:ascii="Arial" w:hAnsi="Arial" w:cs="Arial"/>
      <w:sz w:val="22"/>
      <w:szCs w:val="22"/>
      <w:lang w:val="en" w:eastAsia="en-S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spacing w:line="240" w:lineRule="auto"/>
    </w:pPr>
    <w:rPr>
      <w:sz w:val="20"/>
      <w:szCs w:val="20"/>
    </w:rPr>
  </w:style>
  <w:style w:type="paragraph" w:styleId="a5">
    <w:name w:val="Balloon Text"/>
    <w:basedOn w:val="a"/>
    <w:link w:val="a6"/>
    <w:uiPriority w:val="99"/>
    <w:semiHidden/>
    <w:unhideWhenUsed/>
    <w:qFormat/>
    <w:pPr>
      <w:spacing w:line="240" w:lineRule="auto"/>
    </w:pPr>
    <w:rPr>
      <w:sz w:val="18"/>
      <w:szCs w:val="18"/>
    </w:rPr>
  </w:style>
  <w:style w:type="paragraph" w:styleId="a7">
    <w:name w:val="footer"/>
    <w:basedOn w:val="a"/>
    <w:uiPriority w:val="99"/>
    <w:unhideWhenUsed/>
    <w:pPr>
      <w:tabs>
        <w:tab w:val="center" w:pos="4153"/>
        <w:tab w:val="right" w:pos="8306"/>
      </w:tabs>
      <w:snapToGrid w:val="0"/>
    </w:pPr>
    <w:rPr>
      <w:sz w:val="18"/>
    </w:rPr>
  </w:style>
  <w:style w:type="paragraph" w:styleId="a8">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a9">
    <w:name w:val="annotation subject"/>
    <w:basedOn w:val="a3"/>
    <w:next w:val="a3"/>
    <w:link w:val="aa"/>
    <w:uiPriority w:val="99"/>
    <w:semiHidden/>
    <w:unhideWhenUsed/>
    <w:pPr>
      <w:spacing w:line="276" w:lineRule="auto"/>
    </w:pPr>
    <w:rPr>
      <w:b/>
      <w:bCs/>
      <w:sz w:val="22"/>
      <w:szCs w:val="22"/>
    </w:rPr>
  </w:style>
  <w:style w:type="character" w:styleId="ab">
    <w:name w:val="Strong"/>
    <w:basedOn w:val="a0"/>
    <w:uiPriority w:val="22"/>
    <w:qFormat/>
    <w:rPr>
      <w:b/>
      <w:bCs/>
    </w:rPr>
  </w:style>
  <w:style w:type="character" w:styleId="ac">
    <w:name w:val="FollowedHyperlink"/>
    <w:basedOn w:val="a0"/>
    <w:uiPriority w:val="99"/>
    <w:semiHidden/>
    <w:unhideWhenUsed/>
    <w:qFormat/>
    <w:rPr>
      <w:color w:val="954F72" w:themeColor="followedHyperlink"/>
      <w:u w:val="single"/>
    </w:rPr>
  </w:style>
  <w:style w:type="character" w:styleId="ad">
    <w:name w:val="Hyperlink"/>
    <w:basedOn w:val="a0"/>
    <w:uiPriority w:val="99"/>
    <w:unhideWhenUsed/>
    <w:qFormat/>
    <w:rPr>
      <w:color w:val="0000FF"/>
      <w:u w:val="single"/>
    </w:rPr>
  </w:style>
  <w:style w:type="character" w:styleId="ae">
    <w:name w:val="annotation reference"/>
    <w:basedOn w:val="a0"/>
    <w:uiPriority w:val="99"/>
    <w:semiHidden/>
    <w:unhideWhenUsed/>
    <w:qFormat/>
    <w:rPr>
      <w:sz w:val="16"/>
      <w:szCs w:val="16"/>
    </w:rPr>
  </w:style>
  <w:style w:type="paragraph" w:styleId="af">
    <w:name w:val="List Paragraph"/>
    <w:basedOn w:val="a"/>
    <w:uiPriority w:val="34"/>
    <w:qFormat/>
    <w:pPr>
      <w:ind w:left="720"/>
      <w:contextualSpacing/>
    </w:pPr>
  </w:style>
  <w:style w:type="character" w:customStyle="1" w:styleId="a4">
    <w:name w:val="批注文字 字符"/>
    <w:basedOn w:val="a0"/>
    <w:link w:val="a3"/>
    <w:uiPriority w:val="99"/>
    <w:qFormat/>
    <w:rPr>
      <w:rFonts w:ascii="Arial" w:hAnsi="Arial" w:cs="Arial"/>
      <w:kern w:val="0"/>
      <w:sz w:val="20"/>
      <w:szCs w:val="20"/>
      <w:lang w:val="en" w:eastAsia="en-SG"/>
    </w:rPr>
  </w:style>
  <w:style w:type="character" w:customStyle="1" w:styleId="a6">
    <w:name w:val="批注框文本 字符"/>
    <w:basedOn w:val="a0"/>
    <w:link w:val="a5"/>
    <w:uiPriority w:val="99"/>
    <w:semiHidden/>
    <w:qFormat/>
    <w:rPr>
      <w:rFonts w:ascii="Arial" w:hAnsi="Arial" w:cs="Arial"/>
      <w:kern w:val="0"/>
      <w:sz w:val="18"/>
      <w:szCs w:val="18"/>
      <w:lang w:val="en" w:eastAsia="en-SG"/>
    </w:rPr>
  </w:style>
  <w:style w:type="character" w:customStyle="1" w:styleId="aa">
    <w:name w:val="批注主题 字符"/>
    <w:basedOn w:val="a4"/>
    <w:link w:val="a9"/>
    <w:uiPriority w:val="99"/>
    <w:semiHidden/>
    <w:qFormat/>
    <w:rPr>
      <w:rFonts w:ascii="Arial" w:hAnsi="Arial" w:cs="Arial"/>
      <w:b/>
      <w:bCs/>
      <w:kern w:val="0"/>
      <w:sz w:val="22"/>
      <w:szCs w:val="20"/>
      <w:lang w:val="en" w:eastAsia="en-SG"/>
    </w:rPr>
  </w:style>
  <w:style w:type="paragraph" w:customStyle="1" w:styleId="1">
    <w:name w:val="修订1"/>
    <w:hidden/>
    <w:uiPriority w:val="99"/>
    <w:semiHidden/>
    <w:qFormat/>
    <w:rPr>
      <w:rFonts w:ascii="Arial" w:hAnsi="Arial" w:cs="Arial"/>
      <w:sz w:val="22"/>
      <w:szCs w:val="22"/>
      <w:lang w:val="en" w:eastAsia="en-SG"/>
    </w:rPr>
  </w:style>
  <w:style w:type="character" w:customStyle="1" w:styleId="10">
    <w:name w:val="未处理的提及1"/>
    <w:basedOn w:val="a0"/>
    <w:uiPriority w:val="99"/>
    <w:semiHidden/>
    <w:unhideWhenUsed/>
    <w:qFormat/>
    <w:rPr>
      <w:color w:val="605E5C"/>
      <w:shd w:val="clear" w:color="auto" w:fill="E1DFDD"/>
    </w:rPr>
  </w:style>
  <w:style w:type="character" w:customStyle="1" w:styleId="2">
    <w:name w:val="未处理的提及2"/>
    <w:basedOn w:val="a0"/>
    <w:uiPriority w:val="99"/>
    <w:semiHidden/>
    <w:unhideWhenUsed/>
    <w:qFormat/>
    <w:rPr>
      <w:color w:val="605E5C"/>
      <w:shd w:val="clear" w:color="auto" w:fill="E1DFDD"/>
    </w:rPr>
  </w:style>
  <w:style w:type="paragraph" w:styleId="af0">
    <w:name w:val="Revision"/>
    <w:hidden/>
    <w:uiPriority w:val="99"/>
    <w:semiHidden/>
    <w:rsid w:val="007E4057"/>
    <w:rPr>
      <w:rFonts w:ascii="Arial" w:hAnsi="Arial" w:cs="Arial"/>
      <w:sz w:val="22"/>
      <w:szCs w:val="22"/>
      <w:lang w:val="en"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ingaporecompanyincorporation.sg/how-to/incorporate/a-beginners-guide-how-to-form-a-singapore-private-limited-compan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ingaporecompanyincorporation.sg/how-to/immigration-relocation/singapore-permanent-residence-appli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C711C-998E-419E-BAE0-D939E6CBF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3788</Words>
  <Characters>21598</Characters>
  <Application>Microsoft Office Word</Application>
  <DocSecurity>0</DocSecurity>
  <Lines>179</Lines>
  <Paragraphs>50</Paragraphs>
  <ScaleCrop>false</ScaleCrop>
  <Company/>
  <LinksUpToDate>false</LinksUpToDate>
  <CharactersWithSpaces>25336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Zhening Chi</dc:creator>
  <cp:lastModifiedBy>Yiwen F/DeHeng</cp:lastModifiedBy>
  <cp:revision>3</cp:revision>
  <dcterms:created xsi:type="dcterms:W3CDTF">2022-08-18T08:41:00Z</dcterms:created>
  <dcterms:modified xsi:type="dcterms:W3CDTF">2022-08-18T09:41:00Z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9C4718FA35004D48972B587E798F627D</vt:lpwstr>
  </property>
</Properties>
</file>